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EFB" w:rsidRPr="00932D59" w:rsidRDefault="008F5EFB" w:rsidP="002002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bookmarkStart w:id="0" w:name="_GoBack"/>
      <w:r w:rsidRPr="00932D59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Клетчатка</w:t>
      </w:r>
    </w:p>
    <w:bookmarkEnd w:id="0"/>
    <w:p w:rsidR="008F5EFB" w:rsidRPr="008F5EFB" w:rsidRDefault="008F5EFB" w:rsidP="008F5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8F5EFB">
        <w:rPr>
          <w:rFonts w:ascii="Times New Roman" w:eastAsia="Times New Roman" w:hAnsi="Times New Roman" w:cs="Times New Roman"/>
          <w:noProof/>
          <w:color w:val="212529"/>
          <w:sz w:val="24"/>
          <w:szCs w:val="24"/>
          <w:lang w:eastAsia="ru-RU"/>
        </w:rPr>
        <w:drawing>
          <wp:inline distT="0" distB="0" distL="0" distR="0">
            <wp:extent cx="6663193" cy="3909073"/>
            <wp:effectExtent l="0" t="0" r="4445" b="0"/>
            <wp:docPr id="2" name="Рисунок 2" descr="https://admin.cgon.ru/storage/blog_posts/August2020/8JXGukDOvy6AbzgPepw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in.cgon.ru/storage/blog_posts/August2020/8JXGukDOvy6AbzgPepw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176" cy="391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EFB" w:rsidRPr="00932D59" w:rsidRDefault="008F5EFB" w:rsidP="008F5EFB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течение многих лет роль пищевой клетчатки в поддержании и сохранении здоровья не была определена. Некоторые ученые - энтузиасты считали, что недостаток клетчатки может объяснить любую болезнь, которая поражает население западных стран - от запоров до болезней сердца и рака. Большая часть исследовательских работ была проведена (и проводится) для определения и оценки возможных положительных свой</w:t>
      </w:r>
      <w:proofErr w:type="gramStart"/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ств кл</w:t>
      </w:r>
      <w:proofErr w:type="gramEnd"/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етчатки в профилактике различных заболеваний. Основной рекомендацией является включение в диету большего количества продуктов, богатых клетчаткой.</w:t>
      </w:r>
    </w:p>
    <w:p w:rsidR="008F5EFB" w:rsidRPr="00932D59" w:rsidRDefault="008F5EFB" w:rsidP="008F5EFB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Хотя клетчатка, конечно же, не является волшебной пилюлей, как предполагалось ранее, в некоторых случаях она действительно приносит пользу. Основными источниками пищевых волокон в нашем рационе являются фрукты, овощи и бобовые, которые могут защитить нас от целого ряда заболеваний, таких как рак, атеросклероз, диабет и ожирение.</w:t>
      </w:r>
    </w:p>
    <w:p w:rsidR="00932D59" w:rsidRDefault="008F5EFB" w:rsidP="008F5EFB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Все компоненты, входящие в пищевые волокна, обладают физическими и химическими свойствами, которые способствуют их функциональности и обеспечивают пользу для здоровья. Пищевые волокна увеличивают объем фекалий и сокращают время прохождения пищевого комка по кишечнику. Таким образом, пищевые волокна могут связывать практически любое присутствующее в пище токсичное вещество и сокращать время его контакта с эпителием кишечника, что значительно уменьшает возможность всасывания токсинов. Клетчатка защищает нас от определенных типов </w:t>
      </w:r>
      <w:proofErr w:type="spellStart"/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ксенобиотиков</w:t>
      </w:r>
      <w:proofErr w:type="spellEnd"/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связывает канцерогены и желчные кислоты. </w:t>
      </w:r>
    </w:p>
    <w:p w:rsidR="008F5EFB" w:rsidRPr="00932D59" w:rsidRDefault="008F5EFB" w:rsidP="008F5EFB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Некоторые типы клетчатки ферментируются кишечной микрофлорой и производят жирные кислоты с короткой цепью, одна из которых, масляная, обладает противоопухолевыми свойствами.</w:t>
      </w:r>
    </w:p>
    <w:p w:rsidR="008F5EFB" w:rsidRPr="00932D59" w:rsidRDefault="008F5EFB" w:rsidP="008F5EFB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Существуют эпидемиологические данные, связывающие диеты с высоким содержанием клетчатки со снижением риска рака толстой кишки.</w:t>
      </w:r>
    </w:p>
    <w:p w:rsidR="008F5EFB" w:rsidRPr="00932D59" w:rsidRDefault="008F5EFB" w:rsidP="008F5EFB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Богатые клетчаткой продукты из цельного зерна, арахис, льняное семя, фрукты, ягоды и соевые продукты являются источниками </w:t>
      </w:r>
      <w:proofErr w:type="spellStart"/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лигнанов</w:t>
      </w:r>
      <w:proofErr w:type="spellEnd"/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proofErr w:type="gramStart"/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обладающих</w:t>
      </w:r>
      <w:proofErr w:type="gramEnd"/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свойствами, подобными </w:t>
      </w:r>
      <w:proofErr w:type="spellStart"/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фитоэстрогенам</w:t>
      </w:r>
      <w:proofErr w:type="spellEnd"/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Они образуются в кишечнике в результате жизнедеятельности бактерий из растительной пищи, и обладают как эстрогенными, так и </w:t>
      </w:r>
      <w:proofErr w:type="spellStart"/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антиэстрогенными</w:t>
      </w:r>
      <w:proofErr w:type="spellEnd"/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свойствами. Они выводятся с мочой в концентрациях, которые напрямую связаны с потреблением клетчатки. Их химическая структура сходна с таковой у </w:t>
      </w:r>
      <w:proofErr w:type="spellStart"/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диэтилстилбестрола</w:t>
      </w:r>
      <w:proofErr w:type="spellEnd"/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синтетического нестероидного эстрогена. </w:t>
      </w:r>
      <w:proofErr w:type="spellStart"/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Энтеролактон</w:t>
      </w:r>
      <w:proofErr w:type="spellEnd"/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 </w:t>
      </w:r>
      <w:proofErr w:type="spellStart"/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энтеродиол</w:t>
      </w:r>
      <w:proofErr w:type="spellEnd"/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являются основными </w:t>
      </w:r>
      <w:proofErr w:type="spellStart"/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лигнанами</w:t>
      </w:r>
      <w:proofErr w:type="spellEnd"/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 моче человека, и оба они связываются с рецепторами эстрогена и проявляют слабую эстрогенную активность; однако при этом они вызывают </w:t>
      </w:r>
      <w:proofErr w:type="spellStart"/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антиэстрогенные</w:t>
      </w:r>
      <w:proofErr w:type="spellEnd"/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эффекты. В ряде исследований они демонстрируют ингибирующие опухоль свойства.</w:t>
      </w:r>
    </w:p>
    <w:p w:rsidR="008F5EFB" w:rsidRPr="00932D59" w:rsidRDefault="008F5EFB" w:rsidP="008F5EFB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 правило, в странах с высоким потреблением клетчатки, уровень заболеваемости раком относительно низок.</w:t>
      </w:r>
    </w:p>
    <w:p w:rsidR="008F5EFB" w:rsidRPr="00932D59" w:rsidRDefault="008F5EFB" w:rsidP="008F5EFB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Однако не следует забывать, что в рационах с высоким содержанием клетчатки обычно присутствует мало насыщенных жиров и много фруктов и овощей.</w:t>
      </w:r>
    </w:p>
    <w:p w:rsidR="008F5EFB" w:rsidRPr="00932D59" w:rsidRDefault="008F5EFB" w:rsidP="008F5EFB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 крупных эпидемиологических исследованиях потребление большого количества клетчатки было связано со снижением риска развития </w:t>
      </w:r>
      <w:proofErr w:type="gramStart"/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ИБС</w:t>
      </w:r>
      <w:proofErr w:type="gramEnd"/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как у мужчин, так и у женщин. Считается, что растворимые волокна играют профилактическую роль в отношении </w:t>
      </w:r>
      <w:proofErr w:type="gramStart"/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сердечно-сосудистых</w:t>
      </w:r>
      <w:proofErr w:type="gramEnd"/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заболеваний, поскольку они способны снижать общий уровень сывороточного холестерина и уровень липопротеинов низкой плотности. Лучшие источники растворимых пищевых волокон — это фрукты, овощи, бобовые, овсянка и </w:t>
      </w:r>
      <w:proofErr w:type="spellStart"/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псиллиум</w:t>
      </w:r>
      <w:proofErr w:type="spellEnd"/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Около 71% веса </w:t>
      </w:r>
      <w:proofErr w:type="spellStart"/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псиллиума</w:t>
      </w:r>
      <w:proofErr w:type="spellEnd"/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составляет растворимая клетчатка. Если сравнивать с овсяными отрубями, то только 5% веса овсяных отрубей составляет растворимая клетчатка. Многие исследования на людях показали, что </w:t>
      </w:r>
      <w:proofErr w:type="spellStart"/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псиллиум</w:t>
      </w:r>
      <w:proofErr w:type="spellEnd"/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является эффективным средством снижения уровня холестерина в сыворотке крови. Действительно, растворимая клетчатка является ценным продуктом, позволяющим снизить уровень сывороточного холестерина, тем самым снижая риск развития </w:t>
      </w:r>
      <w:proofErr w:type="gramStart"/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сердечно-сосудистых</w:t>
      </w:r>
      <w:proofErr w:type="gramEnd"/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заболеваний, в том числе ишемической болезни сердца.</w:t>
      </w:r>
    </w:p>
    <w:p w:rsidR="008F5EFB" w:rsidRPr="00932D59" w:rsidRDefault="008F5EFB" w:rsidP="008F5EFB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Среднее потребление клетчатки в нашей стране составляет не более 12–15 г в день. Такого количества недостаточно для поддержания здоровья, мы должны употреблять не менее 30 г клетчатки ежедневно. Увеличенное потребление продуктов с высоким содержанием пищевых волокон, особенно зерновых, поможет защитить организм от заболеваний </w:t>
      </w:r>
      <w:proofErr w:type="gramStart"/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сердечно-сосудистой</w:t>
      </w:r>
      <w:proofErr w:type="gramEnd"/>
      <w:r w:rsidRPr="00932D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системы и снизить риск развития некоторых видов рака.</w:t>
      </w:r>
    </w:p>
    <w:p w:rsidR="00762F80" w:rsidRDefault="00762F80" w:rsidP="008F5E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2D59" w:rsidRDefault="00932D59" w:rsidP="008F5E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2D59" w:rsidRDefault="00932D59" w:rsidP="008F5E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5EFB" w:rsidRPr="008F5EFB" w:rsidRDefault="008F5EFB" w:rsidP="008F5EFB">
      <w:pPr>
        <w:jc w:val="both"/>
        <w:rPr>
          <w:rFonts w:ascii="Times New Roman" w:hAnsi="Times New Roman" w:cs="Times New Roman"/>
          <w:sz w:val="20"/>
          <w:szCs w:val="20"/>
        </w:rPr>
      </w:pPr>
      <w:r w:rsidRPr="008F5EFB">
        <w:rPr>
          <w:rFonts w:ascii="Times New Roman" w:hAnsi="Times New Roman" w:cs="Times New Roman"/>
          <w:sz w:val="20"/>
          <w:szCs w:val="20"/>
        </w:rPr>
        <w:t>Источник:</w:t>
      </w:r>
      <w:r w:rsidRPr="008F5EFB">
        <w:rPr>
          <w:sz w:val="20"/>
          <w:szCs w:val="20"/>
        </w:rPr>
        <w:t xml:space="preserve"> </w:t>
      </w:r>
      <w:r w:rsidRPr="008F5EFB">
        <w:rPr>
          <w:rFonts w:ascii="Times New Roman" w:hAnsi="Times New Roman" w:cs="Times New Roman"/>
          <w:sz w:val="20"/>
          <w:szCs w:val="20"/>
        </w:rPr>
        <w:t>http://cgon.rospotrebnadzor.ru/</w:t>
      </w:r>
    </w:p>
    <w:sectPr w:rsidR="008F5EFB" w:rsidRPr="008F5EFB" w:rsidSect="00C671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96A9E"/>
    <w:multiLevelType w:val="multilevel"/>
    <w:tmpl w:val="04F46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DA4C03"/>
    <w:multiLevelType w:val="multilevel"/>
    <w:tmpl w:val="95824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550E9C"/>
    <w:multiLevelType w:val="multilevel"/>
    <w:tmpl w:val="34D68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9D79CA"/>
    <w:multiLevelType w:val="multilevel"/>
    <w:tmpl w:val="257C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F762D8"/>
    <w:multiLevelType w:val="multilevel"/>
    <w:tmpl w:val="94529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864DA5"/>
    <w:multiLevelType w:val="multilevel"/>
    <w:tmpl w:val="FDF2E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11CA"/>
    <w:rsid w:val="00071189"/>
    <w:rsid w:val="000A2297"/>
    <w:rsid w:val="000E2E8F"/>
    <w:rsid w:val="000F7467"/>
    <w:rsid w:val="00110D20"/>
    <w:rsid w:val="00200235"/>
    <w:rsid w:val="002906D5"/>
    <w:rsid w:val="002D5EBF"/>
    <w:rsid w:val="00335CB8"/>
    <w:rsid w:val="004222E7"/>
    <w:rsid w:val="00583578"/>
    <w:rsid w:val="005C3063"/>
    <w:rsid w:val="006F108C"/>
    <w:rsid w:val="00762F80"/>
    <w:rsid w:val="007A24F9"/>
    <w:rsid w:val="00822ABE"/>
    <w:rsid w:val="00837C6E"/>
    <w:rsid w:val="008811CA"/>
    <w:rsid w:val="008F5EFB"/>
    <w:rsid w:val="00932D59"/>
    <w:rsid w:val="00A943FF"/>
    <w:rsid w:val="00B551E4"/>
    <w:rsid w:val="00B85256"/>
    <w:rsid w:val="00BA17D2"/>
    <w:rsid w:val="00BF6380"/>
    <w:rsid w:val="00C67138"/>
    <w:rsid w:val="00E26BB0"/>
    <w:rsid w:val="00E64EF6"/>
    <w:rsid w:val="00F11564"/>
    <w:rsid w:val="00F41D12"/>
    <w:rsid w:val="00F96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4F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32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2D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1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1497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9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0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106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8070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2316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3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1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1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0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70698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88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568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7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2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80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5620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6531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37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9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838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9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7308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1717184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202697526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603998631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961951939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8557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14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7293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97261495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  <w:div w:id="1419253584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  <w:div w:id="1928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44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9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63700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2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346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3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890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9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48439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06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3617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22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4577">
          <w:blockQuote w:val="1"/>
          <w:marLeft w:val="0"/>
          <w:marRight w:val="720"/>
          <w:marTop w:val="300"/>
          <w:marBottom w:val="300"/>
          <w:divBdr>
            <w:top w:val="none" w:sz="0" w:space="0" w:color="auto"/>
            <w:left w:val="single" w:sz="12" w:space="4" w:color="5E35B1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9A117-F4EA-4BB5-83BE-3F4465B51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user</cp:lastModifiedBy>
  <cp:revision>3</cp:revision>
  <dcterms:created xsi:type="dcterms:W3CDTF">2022-03-02T13:07:00Z</dcterms:created>
  <dcterms:modified xsi:type="dcterms:W3CDTF">2022-03-30T06:02:00Z</dcterms:modified>
</cp:coreProperties>
</file>