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ind/>
        <w:jc w:val="center"/>
        <w:rPr>
          <w:rFonts w:ascii="Times New Roman" w:hAnsi="Times New Roman"/>
          <w:sz w:val="40"/>
        </w:rPr>
      </w:pPr>
      <w:r>
        <w:rPr>
          <w:rFonts w:ascii="Times New Roman" w:hAnsi="Times New Roman"/>
          <w:sz w:val="40"/>
        </w:rPr>
        <w:t>Внимание мошенничество!</w:t>
      </w:r>
    </w:p>
    <w:p w14:paraId="02000000">
      <w:pPr>
        <w:pStyle w:val="Style_1"/>
        <w:ind w:firstLine="851"/>
        <w:jc w:val="both"/>
        <w:rPr>
          <w:rFonts w:ascii="Times New Roman" w:hAnsi="Times New Roman"/>
          <w:sz w:val="28"/>
        </w:rPr>
      </w:pPr>
    </w:p>
    <w:p w14:paraId="03000000">
      <w:pPr>
        <w:pStyle w:val="Style_1"/>
        <w:ind w:firstLine="851"/>
        <w:jc w:val="both"/>
        <w:rPr>
          <w:rFonts w:ascii="Times New Roman" w:hAnsi="Times New Roman"/>
          <w:sz w:val="28"/>
        </w:rPr>
      </w:pPr>
      <w:r>
        <w:rPr>
          <w:rFonts w:ascii="Times New Roman" w:hAnsi="Times New Roman"/>
          <w:sz w:val="28"/>
        </w:rPr>
        <w:t>За последние несколько лет на территории Республики Татарстан наблюдается рост числа дистанционных преступлений – телефонного мошенничества. За 9 месяцев 2024 в Республике Татарстан общий ущерб от данных видов хищений составил порядка 3 млрд. рублей, в среднем 12-13 млн. рублей в день.</w:t>
      </w:r>
    </w:p>
    <w:p w14:paraId="04000000">
      <w:pPr>
        <w:pStyle w:val="Style_1"/>
        <w:ind w:firstLine="851"/>
        <w:jc w:val="both"/>
        <w:rPr>
          <w:rFonts w:ascii="Times New Roman" w:hAnsi="Times New Roman"/>
          <w:sz w:val="28"/>
        </w:rPr>
      </w:pPr>
      <w:r>
        <w:rPr>
          <w:rFonts w:ascii="Times New Roman" w:hAnsi="Times New Roman"/>
          <w:sz w:val="28"/>
        </w:rPr>
        <w:t xml:space="preserve">Более 30% от всех совершенных преступлений составляют звонки жителям республики от имени служб безопасности банков, правоохранительных органов, с сообщениями о несанкционированном доступе к их счетам, кредитным средствам, необходимости проверки денег на подлинность. Соответственно по ним причиняется наибольший ущерб гражданам. </w:t>
      </w:r>
    </w:p>
    <w:p w14:paraId="05000000">
      <w:pPr>
        <w:pStyle w:val="Style_1"/>
        <w:ind w:firstLine="851"/>
        <w:jc w:val="both"/>
        <w:rPr>
          <w:rFonts w:ascii="Times New Roman" w:hAnsi="Times New Roman"/>
          <w:sz w:val="28"/>
        </w:rPr>
      </w:pPr>
      <w:r>
        <w:rPr>
          <w:rFonts w:ascii="Times New Roman" w:hAnsi="Times New Roman"/>
          <w:sz w:val="28"/>
        </w:rPr>
        <w:t xml:space="preserve">Также, зачастую злоумышленники используют предлог «родственник попал в ДТП», который направлен на пожилых граждан.  </w:t>
      </w:r>
    </w:p>
    <w:p w14:paraId="06000000">
      <w:pPr>
        <w:pStyle w:val="Style_1"/>
        <w:ind w:firstLine="851"/>
        <w:jc w:val="both"/>
        <w:rPr>
          <w:rFonts w:ascii="Times New Roman" w:hAnsi="Times New Roman"/>
          <w:sz w:val="28"/>
        </w:rPr>
      </w:pPr>
      <w:r>
        <w:rPr>
          <w:rFonts w:ascii="Times New Roman" w:hAnsi="Times New Roman"/>
          <w:sz w:val="28"/>
        </w:rPr>
        <w:t>При этом, ни для кого не секрет, что мошеннические колл-центры находятся за пределами России и в подавляющем большинстве на территории Украины.</w:t>
      </w:r>
    </w:p>
    <w:p w14:paraId="07000000">
      <w:pPr>
        <w:pStyle w:val="Style_1"/>
        <w:ind w:firstLine="851"/>
        <w:jc w:val="both"/>
        <w:rPr>
          <w:rFonts w:ascii="Times New Roman" w:hAnsi="Times New Roman"/>
          <w:sz w:val="28"/>
        </w:rPr>
      </w:pPr>
      <w:r>
        <w:rPr>
          <w:rFonts w:ascii="Times New Roman" w:hAnsi="Times New Roman"/>
          <w:sz w:val="28"/>
        </w:rPr>
        <w:t>Вместе с тем, обналичивание и вывод похищенных денежных средств происходит через граждан Российской Федерации – «</w:t>
      </w:r>
      <w:r>
        <w:rPr>
          <w:rFonts w:ascii="Times New Roman" w:hAnsi="Times New Roman"/>
          <w:sz w:val="28"/>
        </w:rPr>
        <w:t>дропов</w:t>
      </w:r>
      <w:r>
        <w:rPr>
          <w:rFonts w:ascii="Times New Roman" w:hAnsi="Times New Roman"/>
          <w:sz w:val="28"/>
        </w:rPr>
        <w:t>», зачастую являющимися несовершеннолетними, учащимися школьных учреждений и профессиональных колледжей, которых умышленно используют организаторы мошеннических колл-центров в преступных целях, привлекая к данной деятельности с использованием мессенджеров и социальных сетей.</w:t>
      </w:r>
    </w:p>
    <w:p w14:paraId="08000000">
      <w:pPr>
        <w:pStyle w:val="Style_1"/>
        <w:ind w:firstLine="851"/>
        <w:jc w:val="both"/>
        <w:rPr>
          <w:rFonts w:ascii="Times New Roman" w:hAnsi="Times New Roman"/>
          <w:sz w:val="28"/>
        </w:rPr>
      </w:pPr>
      <w:r>
        <w:rPr>
          <w:rFonts w:ascii="Times New Roman" w:hAnsi="Times New Roman"/>
          <w:sz w:val="28"/>
        </w:rPr>
        <w:t>Дропперы</w:t>
      </w:r>
      <w:r>
        <w:rPr>
          <w:rFonts w:ascii="Times New Roman" w:hAnsi="Times New Roman"/>
          <w:sz w:val="28"/>
        </w:rPr>
        <w:t xml:space="preserve"> — это люди, которых мошенники используют для достижения своих целей. Они не являются инициаторами преступления, но выполняют указания и получают за это проценты от сделки.</w:t>
      </w:r>
    </w:p>
    <w:p w14:paraId="09000000">
      <w:pPr>
        <w:pStyle w:val="Style_1"/>
        <w:ind w:firstLine="851"/>
        <w:jc w:val="both"/>
        <w:rPr>
          <w:rFonts w:ascii="Times New Roman" w:hAnsi="Times New Roman"/>
          <w:sz w:val="28"/>
        </w:rPr>
      </w:pPr>
      <w:r>
        <w:rPr>
          <w:rFonts w:ascii="Times New Roman" w:hAnsi="Times New Roman"/>
          <w:sz w:val="28"/>
        </w:rPr>
        <w:t xml:space="preserve">Задача </w:t>
      </w:r>
      <w:r>
        <w:rPr>
          <w:rFonts w:ascii="Times New Roman" w:hAnsi="Times New Roman"/>
          <w:sz w:val="28"/>
        </w:rPr>
        <w:t>дроппера</w:t>
      </w:r>
      <w:r>
        <w:rPr>
          <w:rFonts w:ascii="Times New Roman" w:hAnsi="Times New Roman"/>
          <w:sz w:val="28"/>
        </w:rPr>
        <w:t xml:space="preserve">: </w:t>
      </w:r>
    </w:p>
    <w:p w14:paraId="0A000000">
      <w:pPr>
        <w:pStyle w:val="Style_1"/>
        <w:numPr>
          <w:ilvl w:val="0"/>
          <w:numId w:val="1"/>
        </w:numPr>
        <w:ind w:firstLine="851" w:left="0"/>
        <w:jc w:val="both"/>
        <w:rPr>
          <w:rFonts w:ascii="Times New Roman" w:hAnsi="Times New Roman"/>
          <w:sz w:val="28"/>
        </w:rPr>
      </w:pPr>
      <w:r>
        <w:rPr>
          <w:rFonts w:ascii="Times New Roman" w:hAnsi="Times New Roman"/>
          <w:sz w:val="28"/>
        </w:rPr>
        <w:t>Предоставить данные своей банковской карты, на которую мошенники переведут средства;</w:t>
      </w:r>
    </w:p>
    <w:p w14:paraId="0B000000">
      <w:pPr>
        <w:pStyle w:val="Style_1"/>
        <w:numPr>
          <w:ilvl w:val="0"/>
          <w:numId w:val="1"/>
        </w:numPr>
        <w:ind w:firstLine="851" w:left="0"/>
        <w:jc w:val="both"/>
        <w:rPr>
          <w:rFonts w:ascii="Times New Roman" w:hAnsi="Times New Roman"/>
          <w:sz w:val="28"/>
        </w:rPr>
      </w:pPr>
      <w:r>
        <w:rPr>
          <w:rFonts w:ascii="Times New Roman" w:hAnsi="Times New Roman"/>
          <w:sz w:val="28"/>
        </w:rPr>
        <w:t>Обналичить полученную сумму в банкомате;</w:t>
      </w:r>
    </w:p>
    <w:p w14:paraId="0C000000">
      <w:pPr>
        <w:pStyle w:val="Style_1"/>
        <w:numPr>
          <w:ilvl w:val="0"/>
          <w:numId w:val="1"/>
        </w:numPr>
        <w:ind w:firstLine="851" w:left="0"/>
        <w:jc w:val="both"/>
        <w:rPr>
          <w:rFonts w:ascii="Times New Roman" w:hAnsi="Times New Roman"/>
          <w:sz w:val="28"/>
        </w:rPr>
      </w:pPr>
      <w:r>
        <w:rPr>
          <w:rFonts w:ascii="Times New Roman" w:hAnsi="Times New Roman"/>
          <w:sz w:val="28"/>
        </w:rPr>
        <w:t>Передать или перевести другим лицам;</w:t>
      </w:r>
    </w:p>
    <w:p w14:paraId="0D000000">
      <w:pPr>
        <w:pStyle w:val="Style_1"/>
        <w:numPr>
          <w:ilvl w:val="0"/>
          <w:numId w:val="1"/>
        </w:numPr>
        <w:ind w:firstLine="851" w:left="0"/>
        <w:jc w:val="both"/>
        <w:rPr>
          <w:rFonts w:ascii="Times New Roman" w:hAnsi="Times New Roman"/>
          <w:sz w:val="28"/>
        </w:rPr>
      </w:pPr>
      <w:r>
        <w:rPr>
          <w:rFonts w:ascii="Times New Roman" w:hAnsi="Times New Roman"/>
          <w:sz w:val="28"/>
        </w:rPr>
        <w:t>Получить определённый процент от сделки.</w:t>
      </w:r>
    </w:p>
    <w:p w14:paraId="0E000000">
      <w:pPr>
        <w:pStyle w:val="Style_1"/>
        <w:ind w:firstLine="851"/>
        <w:jc w:val="both"/>
        <w:rPr>
          <w:rFonts w:ascii="Times New Roman" w:hAnsi="Times New Roman"/>
          <w:sz w:val="28"/>
        </w:rPr>
      </w:pPr>
      <w:r>
        <w:rPr>
          <w:rFonts w:ascii="Times New Roman" w:hAnsi="Times New Roman"/>
          <w:sz w:val="28"/>
        </w:rPr>
        <w:t xml:space="preserve">Необходимо отметить, что лицо, оказывающее содействие злоумышленникам, является соучастником преступления и несет такую же уголовную ответственность.   </w:t>
      </w:r>
    </w:p>
    <w:p w14:paraId="0F000000">
      <w:pPr>
        <w:pStyle w:val="Style_1"/>
        <w:ind w:firstLine="851"/>
        <w:jc w:val="both"/>
        <w:rPr>
          <w:rFonts w:ascii="Times New Roman" w:hAnsi="Times New Roman"/>
          <w:i w:val="1"/>
          <w:sz w:val="28"/>
        </w:rPr>
      </w:pPr>
      <w:r>
        <w:rPr>
          <w:rFonts w:ascii="Times New Roman" w:hAnsi="Times New Roman"/>
          <w:i w:val="1"/>
          <w:sz w:val="28"/>
        </w:rPr>
        <w:t xml:space="preserve">За </w:t>
      </w:r>
      <w:r>
        <w:rPr>
          <w:rFonts w:ascii="Times New Roman" w:hAnsi="Times New Roman"/>
          <w:i w:val="1"/>
          <w:sz w:val="28"/>
        </w:rPr>
        <w:t>дропперство</w:t>
      </w:r>
      <w:r>
        <w:rPr>
          <w:rFonts w:ascii="Times New Roman" w:hAnsi="Times New Roman"/>
          <w:i w:val="1"/>
          <w:sz w:val="28"/>
        </w:rPr>
        <w:t xml:space="preserve"> наказываются не только те, кто переводит деньги, но и те, кто осознанно, за вознаграждение, отдал данные своих карт мошенникам либо по просьбе знакомого снял деньги с чужой карты в банкомате.</w:t>
      </w:r>
    </w:p>
    <w:p w14:paraId="10000000">
      <w:pPr>
        <w:pStyle w:val="Style_1"/>
        <w:ind w:firstLine="851"/>
        <w:jc w:val="center"/>
        <w:rPr>
          <w:rFonts w:ascii="Times New Roman" w:hAnsi="Times New Roman"/>
          <w:b w:val="1"/>
          <w:sz w:val="28"/>
        </w:rPr>
      </w:pPr>
      <w:r>
        <w:rPr>
          <w:rFonts w:ascii="Times New Roman" w:hAnsi="Times New Roman"/>
          <w:b w:val="1"/>
          <w:sz w:val="28"/>
        </w:rPr>
        <w:t>Подросток, помни! Продавая свою банковскую карту и предоставляя полный доступ к онлайн-банкингу, ты рискуешь стать соучастником преступления!</w:t>
      </w:r>
    </w:p>
    <w:p w14:paraId="11000000">
      <w:pPr>
        <w:pStyle w:val="Style_1"/>
        <w:ind w:firstLine="851"/>
        <w:jc w:val="center"/>
        <w:rPr>
          <w:rFonts w:ascii="Times New Roman" w:hAnsi="Times New Roman"/>
          <w:b w:val="1"/>
          <w:sz w:val="28"/>
        </w:rPr>
      </w:pPr>
    </w:p>
    <w:p w14:paraId="12000000">
      <w:pPr>
        <w:pStyle w:val="Style_1"/>
        <w:ind w:firstLine="851"/>
        <w:jc w:val="both"/>
        <w:rPr>
          <w:rFonts w:ascii="Times New Roman" w:hAnsi="Times New Roman"/>
          <w:sz w:val="28"/>
        </w:rPr>
      </w:pPr>
      <w:r>
        <w:rPr>
          <w:rFonts w:ascii="Times New Roman" w:hAnsi="Times New Roman"/>
          <w:sz w:val="28"/>
        </w:rPr>
        <w:t xml:space="preserve">МВД по Республике Татарстан предупреждает о необходимости отказа от предложений легкого заработка денежных средств, путем осуществления якобы курьерских услуг, а также обналичивании денежных средств, поступающих в мессенджерах и социальных сетях. </w:t>
      </w:r>
    </w:p>
    <w:p w14:paraId="13000000">
      <w:pPr>
        <w:pStyle w:val="Style_1"/>
        <w:ind w:firstLine="851"/>
        <w:jc w:val="both"/>
        <w:rPr>
          <w:rFonts w:ascii="Times New Roman" w:hAnsi="Times New Roman"/>
          <w:sz w:val="28"/>
        </w:rPr>
      </w:pPr>
      <w:r>
        <w:rPr>
          <w:rFonts w:ascii="Times New Roman" w:hAnsi="Times New Roman"/>
          <w:sz w:val="28"/>
        </w:rPr>
        <w:t xml:space="preserve">В случае задержания </w:t>
      </w:r>
      <w:r>
        <w:rPr>
          <w:rFonts w:ascii="Times New Roman" w:hAnsi="Times New Roman"/>
          <w:sz w:val="28"/>
        </w:rPr>
        <w:t>дроппера</w:t>
      </w:r>
      <w:r>
        <w:rPr>
          <w:rFonts w:ascii="Times New Roman" w:hAnsi="Times New Roman"/>
          <w:sz w:val="28"/>
        </w:rPr>
        <w:t xml:space="preserve"> правоохранительными органами ему грозит наказание в соответствии со статьей 174 УК РФ за незаконное отмывание денежных средств. </w:t>
      </w:r>
    </w:p>
    <w:p w14:paraId="14000000">
      <w:pPr>
        <w:pStyle w:val="Style_1"/>
        <w:ind w:firstLine="851"/>
        <w:jc w:val="both"/>
        <w:rPr>
          <w:rFonts w:ascii="Times New Roman" w:hAnsi="Times New Roman"/>
          <w:sz w:val="28"/>
        </w:rPr>
      </w:pPr>
      <w:r>
        <w:rPr>
          <w:rFonts w:ascii="Times New Roman" w:hAnsi="Times New Roman"/>
          <w:sz w:val="28"/>
        </w:rPr>
        <w:t>Так же данные деяния могут квалифицироваться в рамках ч. 2 ст. 159 УК РФ (</w:t>
      </w:r>
      <w:r>
        <w:rPr>
          <w:rFonts w:ascii="Times New Roman" w:hAnsi="Times New Roman"/>
          <w:sz w:val="28"/>
        </w:rPr>
        <w:t>Мошенничество, совершенное группой лиц по предварительному сговору, а равно с причинением значительного ущерба гражданину</w:t>
      </w:r>
      <w:r>
        <w:rPr>
          <w:rFonts w:ascii="Times New Roman" w:hAnsi="Times New Roman"/>
          <w:sz w:val="28"/>
        </w:rPr>
        <w:t xml:space="preserve">) и п. «г» ч. 3 ст. 158 УК РФ (Кража совершенная </w:t>
      </w:r>
      <w:r>
        <w:rPr>
          <w:rFonts w:ascii="Times New Roman" w:hAnsi="Times New Roman"/>
          <w:sz w:val="28"/>
        </w:rPr>
        <w:t>с банковского счета, а равно в отношении электронных денежных средств)</w:t>
      </w:r>
      <w:r>
        <w:rPr>
          <w:rFonts w:ascii="Times New Roman" w:hAnsi="Times New Roman"/>
          <w:sz w:val="28"/>
        </w:rPr>
        <w:t>.</w:t>
      </w:r>
    </w:p>
    <w:p w14:paraId="15000000">
      <w:pPr>
        <w:pStyle w:val="Style_1"/>
        <w:ind w:firstLine="851"/>
        <w:jc w:val="both"/>
        <w:rPr>
          <w:rFonts w:ascii="Times New Roman" w:hAnsi="Times New Roman"/>
          <w:sz w:val="28"/>
        </w:rPr>
      </w:pPr>
      <w:r>
        <w:rPr>
          <w:rFonts w:ascii="Times New Roman" w:hAnsi="Times New Roman"/>
          <w:sz w:val="28"/>
        </w:rPr>
        <w:t>Г</w:t>
      </w:r>
      <w:r>
        <w:rPr>
          <w:rFonts w:ascii="Times New Roman" w:hAnsi="Times New Roman"/>
          <w:sz w:val="28"/>
        </w:rPr>
        <w:t>ражданский кодекс (ГК)</w:t>
      </w:r>
      <w:r>
        <w:rPr>
          <w:rFonts w:ascii="Times New Roman" w:hAnsi="Times New Roman"/>
          <w:sz w:val="28"/>
        </w:rPr>
        <w:t xml:space="preserve"> РФ Статья 1102. Обязанность возвратить неосновательное обогащение</w:t>
      </w:r>
      <w:r>
        <w:rPr>
          <w:rFonts w:ascii="Times New Roman" w:hAnsi="Times New Roman"/>
          <w:sz w:val="28"/>
        </w:rPr>
        <w:t>.</w:t>
      </w:r>
    </w:p>
    <w:p w14:paraId="16000000">
      <w:pPr>
        <w:pStyle w:val="Style_1"/>
        <w:ind w:firstLine="851"/>
        <w:jc w:val="both"/>
        <w:rPr>
          <w:rFonts w:ascii="Times New Roman" w:hAnsi="Times New Roman"/>
          <w:sz w:val="28"/>
        </w:rPr>
      </w:pPr>
      <w:r>
        <w:rPr>
          <w:rFonts w:ascii="Times New Roman" w:hAnsi="Times New Roman"/>
          <w:sz w:val="28"/>
        </w:rPr>
        <w:t>Лицо, которое без установленных законом, иными правовыми актами или сделкой оснований приобрело или сберегло имущество (приобретатель) за счет другого лица (потерпевшего), обязано возвратить последнему неосновательно приобретенное или сбереженное имущество (неосновательное обогащение), за исключением случаев, предусмотренных статьей 1109 настоящего Кодекса.</w:t>
      </w:r>
    </w:p>
    <w:p w14:paraId="17000000">
      <w:pPr>
        <w:pStyle w:val="Style_1"/>
        <w:ind w:firstLine="851"/>
        <w:jc w:val="both"/>
        <w:rPr>
          <w:rFonts w:ascii="Times New Roman" w:hAnsi="Times New Roman"/>
          <w:sz w:val="28"/>
        </w:rPr>
      </w:pPr>
      <w:r>
        <w:rPr>
          <w:rFonts w:ascii="Times New Roman" w:hAnsi="Times New Roman"/>
          <w:sz w:val="28"/>
        </w:rPr>
        <w:t>Правила, предусмотренные настоящей главой, применяются независимо от того, явилось ли неосновательное обогащение результатом поведения приобретателя имущества, самого потерпевшего, третьих лиц или произошло помимо их воли.</w:t>
      </w:r>
    </w:p>
    <w:sectPr>
      <w:pgSz w:h="16838" w:orient="portrait" w:w="11906"/>
      <w:pgMar w:bottom="1134" w:footer="708" w:gutter="0" w:header="708" w:left="1701"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bullet"/>
      <w:lvlText w:val=""/>
      <w:lvlJc w:val="left"/>
      <w:pPr>
        <w:ind w:hanging="360" w:left="1571"/>
      </w:pPr>
      <w:rPr>
        <w:rFonts w:ascii="Symbol" w:hAnsi="Symbol"/>
      </w:rPr>
    </w:lvl>
    <w:lvl w:ilvl="1">
      <w:start w:val="1"/>
      <w:numFmt w:val="bullet"/>
      <w:lvlText w:val="o"/>
      <w:lvlJc w:val="left"/>
      <w:pPr>
        <w:ind w:hanging="360" w:left="2291"/>
      </w:pPr>
      <w:rPr>
        <w:rFonts w:ascii="Courier New" w:hAnsi="Courier New"/>
      </w:rPr>
    </w:lvl>
    <w:lvl w:ilvl="2">
      <w:start w:val="1"/>
      <w:numFmt w:val="bullet"/>
      <w:lvlText w:val=""/>
      <w:lvlJc w:val="left"/>
      <w:pPr>
        <w:ind w:hanging="360" w:left="3011"/>
      </w:pPr>
      <w:rPr>
        <w:rFonts w:ascii="Wingdings" w:hAnsi="Wingdings"/>
      </w:rPr>
    </w:lvl>
    <w:lvl w:ilvl="3">
      <w:start w:val="1"/>
      <w:numFmt w:val="bullet"/>
      <w:lvlText w:val=""/>
      <w:lvlJc w:val="left"/>
      <w:pPr>
        <w:ind w:hanging="360" w:left="3731"/>
      </w:pPr>
      <w:rPr>
        <w:rFonts w:ascii="Symbol" w:hAnsi="Symbol"/>
      </w:rPr>
    </w:lvl>
    <w:lvl w:ilvl="4">
      <w:start w:val="1"/>
      <w:numFmt w:val="bullet"/>
      <w:lvlText w:val="o"/>
      <w:lvlJc w:val="left"/>
      <w:pPr>
        <w:ind w:hanging="360" w:left="4451"/>
      </w:pPr>
      <w:rPr>
        <w:rFonts w:ascii="Courier New" w:hAnsi="Courier New"/>
      </w:rPr>
    </w:lvl>
    <w:lvl w:ilvl="5">
      <w:start w:val="1"/>
      <w:numFmt w:val="bullet"/>
      <w:lvlText w:val=""/>
      <w:lvlJc w:val="left"/>
      <w:pPr>
        <w:ind w:hanging="360" w:left="5171"/>
      </w:pPr>
      <w:rPr>
        <w:rFonts w:ascii="Wingdings" w:hAnsi="Wingdings"/>
      </w:rPr>
    </w:lvl>
    <w:lvl w:ilvl="6">
      <w:start w:val="1"/>
      <w:numFmt w:val="bullet"/>
      <w:lvlText w:val=""/>
      <w:lvlJc w:val="left"/>
      <w:pPr>
        <w:ind w:hanging="360" w:left="5891"/>
      </w:pPr>
      <w:rPr>
        <w:rFonts w:ascii="Symbol" w:hAnsi="Symbol"/>
      </w:rPr>
    </w:lvl>
    <w:lvl w:ilvl="7">
      <w:start w:val="1"/>
      <w:numFmt w:val="bullet"/>
      <w:lvlText w:val="o"/>
      <w:lvlJc w:val="left"/>
      <w:pPr>
        <w:ind w:hanging="360" w:left="6611"/>
      </w:pPr>
      <w:rPr>
        <w:rFonts w:ascii="Courier New" w:hAnsi="Courier New"/>
      </w:rPr>
    </w:lvl>
    <w:lvl w:ilvl="8">
      <w:start w:val="1"/>
      <w:numFmt w:val="bullet"/>
      <w:lvlText w:val=""/>
      <w:lvlJc w:val="left"/>
      <w:pPr>
        <w:ind w:hanging="360" w:left="7331"/>
      </w:pPr>
      <w:rPr>
        <w:rFonts w:ascii="Wingdings" w:hAnsi="Wingdings"/>
      </w:rPr>
    </w:lvl>
  </w:abstractNum>
  <w:num w:numId="1">
    <w:abstractNumId w:val="0"/>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style>
  <w:style w:default="1" w:styleId="Style_2_ch" w:type="character">
    <w:name w:val="Normal"/>
    <w:link w:val="Style_2"/>
  </w:style>
  <w:style w:styleId="Style_3" w:type="paragraph">
    <w:name w:val="toc 2"/>
    <w:next w:val="Style_2"/>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2"/>
    <w:link w:val="Style_5_ch"/>
    <w:uiPriority w:val="39"/>
    <w:pPr>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2"/>
    <w:link w:val="Style_6_ch"/>
    <w:uiPriority w:val="39"/>
    <w:pPr>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Endnote"/>
    <w:link w:val="Style_7_ch"/>
    <w:pPr>
      <w:ind w:firstLine="851" w:left="0"/>
      <w:jc w:val="both"/>
    </w:pPr>
    <w:rPr>
      <w:rFonts w:ascii="XO Thames" w:hAnsi="XO Thames"/>
      <w:sz w:val="22"/>
    </w:rPr>
  </w:style>
  <w:style w:styleId="Style_7_ch" w:type="character">
    <w:name w:val="Endnote"/>
    <w:link w:val="Style_7"/>
    <w:rPr>
      <w:rFonts w:ascii="XO Thames" w:hAnsi="XO Thames"/>
      <w:sz w:val="22"/>
    </w:rPr>
  </w:style>
  <w:style w:styleId="Style_8" w:type="paragraph">
    <w:name w:val="heading 3"/>
    <w:next w:val="Style_2"/>
    <w:link w:val="Style_8_ch"/>
    <w:uiPriority w:val="9"/>
    <w:qFormat/>
    <w:pPr>
      <w:spacing w:after="120" w:before="120"/>
      <w:ind/>
      <w:jc w:val="both"/>
      <w:outlineLvl w:val="2"/>
    </w:pPr>
    <w:rPr>
      <w:rFonts w:ascii="XO Thames" w:hAnsi="XO Thames"/>
      <w:b w:val="1"/>
      <w:sz w:val="26"/>
    </w:rPr>
  </w:style>
  <w:style w:styleId="Style_8_ch" w:type="character">
    <w:name w:val="heading 3"/>
    <w:link w:val="Style_8"/>
    <w:rPr>
      <w:rFonts w:ascii="XO Thames" w:hAnsi="XO Thames"/>
      <w:b w:val="1"/>
      <w:sz w:val="26"/>
    </w:rPr>
  </w:style>
  <w:style w:styleId="Style_9" w:type="paragraph">
    <w:name w:val="Default Paragraph Font"/>
    <w:link w:val="Style_9_ch"/>
  </w:style>
  <w:style w:styleId="Style_9_ch" w:type="character">
    <w:name w:val="Default Paragraph Font"/>
    <w:link w:val="Style_9"/>
  </w:style>
  <w:style w:styleId="Style_10" w:type="paragraph">
    <w:name w:val="toc 3"/>
    <w:next w:val="Style_2"/>
    <w:link w:val="Style_10_ch"/>
    <w:uiPriority w:val="39"/>
    <w:pPr>
      <w:ind w:firstLine="0" w:left="400"/>
      <w:jc w:val="left"/>
    </w:pPr>
    <w:rPr>
      <w:rFonts w:ascii="XO Thames" w:hAnsi="XO Thames"/>
      <w:sz w:val="28"/>
    </w:rPr>
  </w:style>
  <w:style w:styleId="Style_10_ch" w:type="character">
    <w:name w:val="toc 3"/>
    <w:link w:val="Style_10"/>
    <w:rPr>
      <w:rFonts w:ascii="XO Thames" w:hAnsi="XO Thames"/>
      <w:sz w:val="28"/>
    </w:rPr>
  </w:style>
  <w:style w:styleId="Style_1" w:type="paragraph">
    <w:name w:val="No Spacing"/>
    <w:link w:val="Style_1_ch"/>
    <w:pPr>
      <w:spacing w:after="0" w:line="240" w:lineRule="auto"/>
      <w:ind/>
    </w:pPr>
  </w:style>
  <w:style w:styleId="Style_1_ch" w:type="character">
    <w:name w:val="No Spacing"/>
    <w:link w:val="Style_1"/>
  </w:style>
  <w:style w:styleId="Style_11" w:type="paragraph">
    <w:name w:val="heading 5"/>
    <w:next w:val="Style_2"/>
    <w:link w:val="Style_11_ch"/>
    <w:uiPriority w:val="9"/>
    <w:qFormat/>
    <w:pPr>
      <w:spacing w:after="120" w:before="120"/>
      <w:ind/>
      <w:jc w:val="both"/>
      <w:outlineLvl w:val="4"/>
    </w:pPr>
    <w:rPr>
      <w:rFonts w:ascii="XO Thames" w:hAnsi="XO Thames"/>
      <w:b w:val="1"/>
      <w:sz w:val="22"/>
    </w:rPr>
  </w:style>
  <w:style w:styleId="Style_11_ch" w:type="character">
    <w:name w:val="heading 5"/>
    <w:link w:val="Style_11"/>
    <w:rPr>
      <w:rFonts w:ascii="XO Thames" w:hAnsi="XO Thames"/>
      <w:b w:val="1"/>
      <w:sz w:val="22"/>
    </w:rPr>
  </w:style>
  <w:style w:styleId="Style_12" w:type="paragraph">
    <w:name w:val="heading 1"/>
    <w:next w:val="Style_2"/>
    <w:link w:val="Style_12_ch"/>
    <w:uiPriority w:val="9"/>
    <w:qFormat/>
    <w:pPr>
      <w:spacing w:after="120" w:before="120"/>
      <w:ind/>
      <w:jc w:val="both"/>
      <w:outlineLvl w:val="0"/>
    </w:pPr>
    <w:rPr>
      <w:rFonts w:ascii="XO Thames" w:hAnsi="XO Thames"/>
      <w:b w:val="1"/>
      <w:sz w:val="32"/>
    </w:rPr>
  </w:style>
  <w:style w:styleId="Style_12_ch" w:type="character">
    <w:name w:val="heading 1"/>
    <w:link w:val="Style_12"/>
    <w:rPr>
      <w:rFonts w:ascii="XO Thames" w:hAnsi="XO Thames"/>
      <w:b w:val="1"/>
      <w:sz w:val="32"/>
    </w:rPr>
  </w:style>
  <w:style w:styleId="Style_13" w:type="paragraph">
    <w:name w:val="Hyperlink"/>
    <w:link w:val="Style_13_ch"/>
    <w:rPr>
      <w:color w:val="0000FF"/>
      <w:u w:val="single"/>
    </w:rPr>
  </w:style>
  <w:style w:styleId="Style_13_ch" w:type="character">
    <w:name w:val="Hyperlink"/>
    <w:link w:val="Style_13"/>
    <w:rPr>
      <w:color w:val="0000FF"/>
      <w:u w:val="single"/>
    </w:rPr>
  </w:style>
  <w:style w:styleId="Style_14" w:type="paragraph">
    <w:name w:val="Footnote"/>
    <w:link w:val="Style_14_ch"/>
    <w:pPr>
      <w:ind w:firstLine="851" w:left="0"/>
      <w:jc w:val="both"/>
    </w:pPr>
    <w:rPr>
      <w:rFonts w:ascii="XO Thames" w:hAnsi="XO Thames"/>
      <w:sz w:val="22"/>
    </w:rPr>
  </w:style>
  <w:style w:styleId="Style_14_ch" w:type="character">
    <w:name w:val="Footnote"/>
    <w:link w:val="Style_14"/>
    <w:rPr>
      <w:rFonts w:ascii="XO Thames" w:hAnsi="XO Thames"/>
      <w:sz w:val="22"/>
    </w:rPr>
  </w:style>
  <w:style w:styleId="Style_15" w:type="paragraph">
    <w:name w:val="toc 1"/>
    <w:next w:val="Style_2"/>
    <w:link w:val="Style_15_ch"/>
    <w:uiPriority w:val="39"/>
    <w:pPr>
      <w:ind w:firstLine="0" w:left="0"/>
      <w:jc w:val="left"/>
    </w:pPr>
    <w:rPr>
      <w:rFonts w:ascii="XO Thames" w:hAnsi="XO Thames"/>
      <w:b w:val="1"/>
      <w:sz w:val="28"/>
    </w:rPr>
  </w:style>
  <w:style w:styleId="Style_15_ch" w:type="character">
    <w:name w:val="toc 1"/>
    <w:link w:val="Style_15"/>
    <w:rPr>
      <w:rFonts w:ascii="XO Thames" w:hAnsi="XO Thames"/>
      <w:b w:val="1"/>
      <w:sz w:val="28"/>
    </w:rPr>
  </w:style>
  <w:style w:styleId="Style_16" w:type="paragraph">
    <w:name w:val="Header and Footer"/>
    <w:link w:val="Style_16_ch"/>
    <w:pPr>
      <w:spacing w:line="240" w:lineRule="auto"/>
      <w:ind/>
      <w:jc w:val="both"/>
    </w:pPr>
    <w:rPr>
      <w:rFonts w:ascii="XO Thames" w:hAnsi="XO Thames"/>
      <w:sz w:val="28"/>
    </w:rPr>
  </w:style>
  <w:style w:styleId="Style_16_ch" w:type="character">
    <w:name w:val="Header and Footer"/>
    <w:link w:val="Style_16"/>
    <w:rPr>
      <w:rFonts w:ascii="XO Thames" w:hAnsi="XO Thames"/>
      <w:sz w:val="28"/>
    </w:rPr>
  </w:style>
  <w:style w:styleId="Style_17" w:type="paragraph">
    <w:name w:val="toc 9"/>
    <w:next w:val="Style_2"/>
    <w:link w:val="Style_17_ch"/>
    <w:uiPriority w:val="39"/>
    <w:pPr>
      <w:ind w:firstLine="0" w:left="1600"/>
      <w:jc w:val="left"/>
    </w:pPr>
    <w:rPr>
      <w:rFonts w:ascii="XO Thames" w:hAnsi="XO Thames"/>
      <w:sz w:val="28"/>
    </w:rPr>
  </w:style>
  <w:style w:styleId="Style_17_ch" w:type="character">
    <w:name w:val="toc 9"/>
    <w:link w:val="Style_17"/>
    <w:rPr>
      <w:rFonts w:ascii="XO Thames" w:hAnsi="XO Thames"/>
      <w:sz w:val="28"/>
    </w:rPr>
  </w:style>
  <w:style w:styleId="Style_18" w:type="paragraph">
    <w:name w:val="toc 8"/>
    <w:next w:val="Style_2"/>
    <w:link w:val="Style_18_ch"/>
    <w:uiPriority w:val="39"/>
    <w:pPr>
      <w:ind w:firstLine="0" w:left="1400"/>
      <w:jc w:val="left"/>
    </w:pPr>
    <w:rPr>
      <w:rFonts w:ascii="XO Thames" w:hAnsi="XO Thames"/>
      <w:sz w:val="28"/>
    </w:rPr>
  </w:style>
  <w:style w:styleId="Style_18_ch" w:type="character">
    <w:name w:val="toc 8"/>
    <w:link w:val="Style_18"/>
    <w:rPr>
      <w:rFonts w:ascii="XO Thames" w:hAnsi="XO Thames"/>
      <w:sz w:val="28"/>
    </w:rPr>
  </w:style>
  <w:style w:styleId="Style_19" w:type="paragraph">
    <w:name w:val="List Paragraph"/>
    <w:basedOn w:val="Style_2"/>
    <w:link w:val="Style_19_ch"/>
    <w:pPr>
      <w:ind w:left="720"/>
      <w:contextualSpacing w:val="1"/>
    </w:pPr>
  </w:style>
  <w:style w:styleId="Style_19_ch" w:type="character">
    <w:name w:val="List Paragraph"/>
    <w:basedOn w:val="Style_2_ch"/>
    <w:link w:val="Style_19"/>
  </w:style>
  <w:style w:styleId="Style_20" w:type="paragraph">
    <w:name w:val="toc 5"/>
    <w:next w:val="Style_2"/>
    <w:link w:val="Style_20_ch"/>
    <w:uiPriority w:val="39"/>
    <w:pPr>
      <w:ind w:firstLine="0" w:left="800"/>
      <w:jc w:val="left"/>
    </w:pPr>
    <w:rPr>
      <w:rFonts w:ascii="XO Thames" w:hAnsi="XO Thames"/>
      <w:sz w:val="28"/>
    </w:rPr>
  </w:style>
  <w:style w:styleId="Style_20_ch" w:type="character">
    <w:name w:val="toc 5"/>
    <w:link w:val="Style_20"/>
    <w:rPr>
      <w:rFonts w:ascii="XO Thames" w:hAnsi="XO Thames"/>
      <w:sz w:val="28"/>
    </w:rPr>
  </w:style>
  <w:style w:styleId="Style_21" w:type="paragraph">
    <w:name w:val="Subtitle"/>
    <w:next w:val="Style_2"/>
    <w:link w:val="Style_21_ch"/>
    <w:uiPriority w:val="11"/>
    <w:qFormat/>
    <w:pPr>
      <w:ind/>
      <w:jc w:val="both"/>
    </w:pPr>
    <w:rPr>
      <w:rFonts w:ascii="XO Thames" w:hAnsi="XO Thames"/>
      <w:i w:val="1"/>
      <w:sz w:val="24"/>
    </w:rPr>
  </w:style>
  <w:style w:styleId="Style_21_ch" w:type="character">
    <w:name w:val="Subtitle"/>
    <w:link w:val="Style_21"/>
    <w:rPr>
      <w:rFonts w:ascii="XO Thames" w:hAnsi="XO Thames"/>
      <w:i w:val="1"/>
      <w:sz w:val="24"/>
    </w:rPr>
  </w:style>
  <w:style w:styleId="Style_22" w:type="paragraph">
    <w:name w:val="Title"/>
    <w:next w:val="Style_2"/>
    <w:link w:val="Style_22_ch"/>
    <w:uiPriority w:val="10"/>
    <w:qFormat/>
    <w:pPr>
      <w:spacing w:after="567" w:before="567"/>
      <w:ind/>
      <w:jc w:val="center"/>
    </w:pPr>
    <w:rPr>
      <w:rFonts w:ascii="XO Thames" w:hAnsi="XO Thames"/>
      <w:b w:val="1"/>
      <w:caps w:val="1"/>
      <w:sz w:val="40"/>
    </w:rPr>
  </w:style>
  <w:style w:styleId="Style_22_ch" w:type="character">
    <w:name w:val="Title"/>
    <w:link w:val="Style_22"/>
    <w:rPr>
      <w:rFonts w:ascii="XO Thames" w:hAnsi="XO Thames"/>
      <w:b w:val="1"/>
      <w:caps w:val="1"/>
      <w:sz w:val="40"/>
    </w:rPr>
  </w:style>
  <w:style w:styleId="Style_23" w:type="paragraph">
    <w:name w:val="heading 4"/>
    <w:next w:val="Style_2"/>
    <w:link w:val="Style_23_ch"/>
    <w:uiPriority w:val="9"/>
    <w:qFormat/>
    <w:pPr>
      <w:spacing w:after="120" w:before="120"/>
      <w:ind/>
      <w:jc w:val="both"/>
      <w:outlineLvl w:val="3"/>
    </w:pPr>
    <w:rPr>
      <w:rFonts w:ascii="XO Thames" w:hAnsi="XO Thames"/>
      <w:b w:val="1"/>
      <w:sz w:val="24"/>
    </w:rPr>
  </w:style>
  <w:style w:styleId="Style_23_ch" w:type="character">
    <w:name w:val="heading 4"/>
    <w:link w:val="Style_23"/>
    <w:rPr>
      <w:rFonts w:ascii="XO Thames" w:hAnsi="XO Thames"/>
      <w:b w:val="1"/>
      <w:sz w:val="24"/>
    </w:rPr>
  </w:style>
  <w:style w:styleId="Style_24" w:type="paragraph">
    <w:name w:val="heading 2"/>
    <w:next w:val="Style_2"/>
    <w:link w:val="Style_24_ch"/>
    <w:uiPriority w:val="9"/>
    <w:qFormat/>
    <w:pPr>
      <w:spacing w:after="120" w:before="120"/>
      <w:ind/>
      <w:jc w:val="both"/>
      <w:outlineLvl w:val="1"/>
    </w:pPr>
    <w:rPr>
      <w:rFonts w:ascii="XO Thames" w:hAnsi="XO Thames"/>
      <w:b w:val="1"/>
      <w:sz w:val="28"/>
    </w:rPr>
  </w:style>
  <w:style w:styleId="Style_24_ch" w:type="character">
    <w:name w:val="heading 2"/>
    <w:link w:val="Style_24"/>
    <w:rPr>
      <w:rFonts w:ascii="XO Thames" w:hAnsi="XO Thames"/>
      <w:b w:val="1"/>
      <w:sz w:val="28"/>
    </w:rPr>
  </w:style>
  <w:style w:default="1" w:styleId="Style_25"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7" Target="numbering.xml" Type="http://schemas.openxmlformats.org/officeDocument/2006/relationships/numbering"/>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MyOffice-CoreFramework-Android/34-1238.862.9476.867.1@5688b07644a86ad6926e24f04b4906eb4758a8c9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2024-11-05T18:14:30Z</dcterms:modified>
</cp:coreProperties>
</file>