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CA" w:rsidRPr="003D36AF" w:rsidRDefault="00897CCA" w:rsidP="00897CCA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Специально оборудованные учебные кабинеты</w:t>
      </w:r>
    </w:p>
    <w:p w:rsidR="00897CCA" w:rsidRPr="003D36AF" w:rsidRDefault="00897CCA" w:rsidP="00897CC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</w:rPr>
        <w:t>Кабинет инклюзивного обучения для 1-11 классов оборудуются школой за счет бюджетных средств, в</w:t>
      </w:r>
      <w:bookmarkStart w:id="0" w:name="_GoBack"/>
      <w:bookmarkEnd w:id="0"/>
      <w:r w:rsidRPr="003D36AF">
        <w:rPr>
          <w:rFonts w:ascii="Times New Roman" w:hAnsi="Times New Roman" w:cs="Times New Roman"/>
          <w:sz w:val="24"/>
          <w:szCs w:val="24"/>
        </w:rPr>
        <w:t>ыделенных под программу «Доступная среда», и соответствуют следующим параметрам. Расположение и оформление кабинета для детей с ОВЗ: находится на первом этаже школы недалеко от главного входа; имеет широкий дверной проем без порожка; имеет правильную прямоугольную форму; окрашен в светлые пастельные тона. Для снятия напряжения кабинеты оборудованы конторками Базарного.</w:t>
      </w:r>
      <w:r w:rsidRPr="003D36AF">
        <w:rPr>
          <w:rFonts w:ascii="Times New Roman" w:hAnsi="Times New Roman" w:cs="Times New Roman"/>
          <w:sz w:val="24"/>
          <w:szCs w:val="24"/>
        </w:rPr>
        <w:br/>
      </w: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Имеющиеся учебные кабинеты подходят для занятий с детьми, ограничения здоровья которых позволяют заниматься в стандартно оборудованном учебном кабинете.</w:t>
      </w:r>
    </w:p>
    <w:p w:rsidR="00CB4F36" w:rsidRDefault="00CB4F36"/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CA"/>
    <w:rsid w:val="00897CCA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4C588-1340-4E4C-B106-5F622465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2022-02-17T12:04:00Z</dcterms:created>
  <dcterms:modified xsi:type="dcterms:W3CDTF">2022-02-17T12:05:00Z</dcterms:modified>
</cp:coreProperties>
</file>