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drawing>
          <wp:inline>
            <wp:extent cx="6300469" cy="867241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300469" cy="867241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t>ПОЯСНИТЕЛЬНАЯ ЗАПИСКА</w:t>
      </w:r>
    </w:p>
    <w:p w14:paraId="02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Учебный план начального общего образования</w:t>
      </w:r>
      <w:r>
        <w:rPr>
          <w:rStyle w:val="Style_1_ch"/>
          <w:rFonts w:ascii="Times New Roman" w:hAnsi="Times New Roman"/>
          <w:sz w:val="28"/>
        </w:rPr>
        <w:t xml:space="preserve"> 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(далее - учебный план) для 1-4 классов, реализующих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основную образовательную программу начального общего образования, соответствующ</w:t>
      </w:r>
      <w:r>
        <w:rPr>
          <w:rStyle w:val="Style_1_ch"/>
          <w:rFonts w:ascii="Times New Roman" w:hAnsi="Times New Roman"/>
          <w:sz w:val="28"/>
        </w:rPr>
        <w:t>ую</w:t>
      </w:r>
      <w:r>
        <w:rPr>
          <w:rStyle w:val="Style_1_ch"/>
          <w:rFonts w:ascii="Times New Roman" w:hAnsi="Times New Roman"/>
          <w:sz w:val="28"/>
        </w:rPr>
        <w:t xml:space="preserve"> ФГОС НОО</w:t>
      </w:r>
      <w:r>
        <w:rPr>
          <w:rStyle w:val="Style_1_ch"/>
          <w:rFonts w:ascii="Times New Roman" w:hAnsi="Times New Roman"/>
          <w:sz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>
        <w:rPr>
          <w:rStyle w:val="Style_1_ch"/>
          <w:rFonts w:ascii="Times New Roman" w:hAnsi="Times New Roman"/>
          <w:sz w:val="28"/>
        </w:rPr>
        <w:t>ального общего образования»)</w:t>
      </w:r>
      <w:r>
        <w:rPr>
          <w:rStyle w:val="Style_1_ch"/>
          <w:rFonts w:ascii="Times New Roman" w:hAnsi="Times New Roman"/>
          <w:sz w:val="28"/>
        </w:rPr>
        <w:t xml:space="preserve">, </w:t>
      </w:r>
      <w:r>
        <w:rPr>
          <w:rStyle w:val="Style_1_ch"/>
          <w:rFonts w:ascii="Times New Roman" w:hAnsi="Times New Roman"/>
          <w:sz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3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Учебный план является частью образовательной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разработанной в соответствии с ФГОС начального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общего образования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с учетом </w:t>
      </w:r>
      <w:r>
        <w:rPr>
          <w:rStyle w:val="Style_1_ch"/>
          <w:rFonts w:ascii="Times New Roman" w:hAnsi="Times New Roman"/>
          <w:sz w:val="28"/>
        </w:rPr>
        <w:t xml:space="preserve">Федеральной </w:t>
      </w:r>
      <w:r>
        <w:rPr>
          <w:rStyle w:val="Style_1_ch"/>
          <w:rFonts w:ascii="Times New Roman" w:hAnsi="Times New Roman"/>
          <w:sz w:val="28"/>
        </w:rPr>
        <w:t>образовательн</w:t>
      </w:r>
      <w:r>
        <w:rPr>
          <w:rStyle w:val="Style_1_ch"/>
          <w:rFonts w:ascii="Times New Roman" w:hAnsi="Times New Roman"/>
          <w:sz w:val="28"/>
        </w:rPr>
        <w:t>ой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программ</w:t>
      </w:r>
      <w:r>
        <w:rPr>
          <w:rStyle w:val="Style_1_ch"/>
          <w:rFonts w:ascii="Times New Roman" w:hAnsi="Times New Roman"/>
          <w:sz w:val="28"/>
        </w:rPr>
        <w:t>ой</w:t>
      </w:r>
      <w:r>
        <w:rPr>
          <w:rStyle w:val="Style_1_ch"/>
          <w:rFonts w:ascii="Times New Roman" w:hAnsi="Times New Roman"/>
          <w:sz w:val="28"/>
        </w:rPr>
        <w:t xml:space="preserve"> начального общего образования</w:t>
      </w:r>
      <w:r>
        <w:rPr>
          <w:rStyle w:val="Style_1_ch"/>
          <w:rFonts w:ascii="Times New Roman" w:hAnsi="Times New Roman"/>
          <w:sz w:val="28"/>
        </w:rPr>
        <w:t>,</w:t>
      </w:r>
      <w:r>
        <w:rPr>
          <w:rStyle w:val="Style_1_ch"/>
          <w:rFonts w:ascii="Times New Roman" w:hAnsi="Times New Roman"/>
          <w:sz w:val="28"/>
        </w:rPr>
        <w:t xml:space="preserve"> и обеспечивает выполнение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санитарно-эпидемиологических требований СП 2.4.3648-20 и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гигиенических нормативов и требований СанПиН 1.2.3685-21.</w:t>
      </w:r>
    </w:p>
    <w:p w14:paraId="04000000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Учебный год в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начинается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и заканчивается </w:t>
      </w:r>
      <w:r>
        <w:rPr>
          <w:rFonts w:ascii="Times New Roman" w:hAnsi="Times New Roman"/>
          <w:sz w:val="28"/>
        </w:rPr>
        <w:t>25.05.2026</w:t>
      </w:r>
      <w:r>
        <w:rPr>
          <w:rFonts w:ascii="Times New Roman" w:hAnsi="Times New Roman"/>
          <w:sz w:val="28"/>
        </w:rPr>
        <w:t xml:space="preserve">. </w:t>
      </w:r>
    </w:p>
    <w:p w14:paraId="05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6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Максимальный объем аудиторной нагрузки обучающихся в неделю составляет 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в 1 классе - 21 час, во 2 – 4 классах – 2</w:t>
      </w:r>
      <w:r>
        <w:rPr>
          <w:rStyle w:val="Style_1_ch"/>
          <w:rFonts w:ascii="Times New Roman" w:hAnsi="Times New Roman"/>
          <w:sz w:val="28"/>
        </w:rPr>
        <w:t>6</w:t>
      </w:r>
      <w:r>
        <w:rPr>
          <w:rStyle w:val="Style_1_ch"/>
          <w:rFonts w:ascii="Times New Roman" w:hAnsi="Times New Roman"/>
          <w:sz w:val="28"/>
        </w:rPr>
        <w:t xml:space="preserve"> час</w:t>
      </w:r>
      <w:r>
        <w:rPr>
          <w:rStyle w:val="Style_1_ch"/>
          <w:rFonts w:ascii="Times New Roman" w:hAnsi="Times New Roman"/>
          <w:sz w:val="28"/>
        </w:rPr>
        <w:t>ов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.</w:t>
      </w:r>
    </w:p>
    <w:p w14:paraId="07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8000000">
      <w:pPr>
        <w:pStyle w:val="Style_2"/>
        <w:numPr>
          <w:ilvl w:val="0"/>
          <w:numId w:val="1"/>
        </w:numPr>
        <w:spacing w:line="276" w:lineRule="auto"/>
        <w:ind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для обучающихся 1-х классов - не превышает 4 уроков и один раз в неделю -5 уроков.</w:t>
      </w:r>
    </w:p>
    <w:p w14:paraId="09000000">
      <w:pPr>
        <w:pStyle w:val="Style_2"/>
        <w:numPr>
          <w:ilvl w:val="0"/>
          <w:numId w:val="1"/>
        </w:numPr>
        <w:spacing w:line="276" w:lineRule="auto"/>
        <w:ind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для обучающихся 2-4 классов - не более 5 уроков.</w:t>
      </w:r>
    </w:p>
    <w:p w14:paraId="0A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0B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="Times New Roman" w:hAnsi="Times New Roman"/>
          <w:sz w:val="28"/>
        </w:rPr>
        <w:t>45</w:t>
      </w:r>
      <w:r>
        <w:rPr>
          <w:rStyle w:val="Style_1_ch"/>
          <w:rFonts w:ascii="Times New Roman" w:hAnsi="Times New Roman"/>
          <w:sz w:val="28"/>
        </w:rPr>
        <w:t xml:space="preserve"> минут, за исключением 1 класса.</w:t>
      </w:r>
    </w:p>
    <w:p w14:paraId="0C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0D000000">
      <w:pPr>
        <w:pStyle w:val="Style_2"/>
        <w:numPr>
          <w:ilvl w:val="0"/>
          <w:numId w:val="2"/>
        </w:numPr>
        <w:spacing w:line="276" w:lineRule="auto"/>
        <w:ind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учебные занятия проводятся по 5-дневной учебной неделе и только в первую смену;</w:t>
      </w:r>
    </w:p>
    <w:p w14:paraId="0E000000">
      <w:pPr>
        <w:pStyle w:val="Style_2"/>
        <w:numPr>
          <w:ilvl w:val="0"/>
          <w:numId w:val="2"/>
        </w:numPr>
        <w:spacing w:line="276" w:lineRule="auto"/>
        <w:ind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F000000">
      <w:pPr>
        <w:pStyle w:val="Style_2"/>
        <w:numPr>
          <w:ilvl w:val="0"/>
          <w:numId w:val="2"/>
        </w:numPr>
        <w:spacing w:line="276" w:lineRule="auto"/>
        <w:ind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Продолжительность выполнения домашних заданий составляет во 2-3 классах - 1,5 ч., в 4 классах - 2 ч.</w:t>
      </w:r>
    </w:p>
    <w:p w14:paraId="10000000">
      <w:pPr>
        <w:spacing w:line="276" w:lineRule="auto"/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1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Учебные занятия для учащихся 2-4 классов проводятся по</w:t>
      </w:r>
      <w:r>
        <w:rPr>
          <w:rStyle w:val="Style_1_ch"/>
          <w:rFonts w:ascii="Times New Roman" w:hAnsi="Times New Roman"/>
          <w:sz w:val="28"/>
        </w:rPr>
        <w:t xml:space="preserve"> 6</w:t>
      </w:r>
      <w:r>
        <w:rPr>
          <w:rStyle w:val="Style_1_ch"/>
          <w:rFonts w:ascii="Times New Roman" w:hAnsi="Times New Roman"/>
          <w:sz w:val="28"/>
        </w:rPr>
        <w:t>-</w:t>
      </w:r>
      <w:r>
        <w:rPr>
          <w:rStyle w:val="Style_1_ch"/>
          <w:rFonts w:ascii="Times New Roman" w:hAnsi="Times New Roman"/>
          <w:sz w:val="28"/>
        </w:rPr>
        <w:t>и</w:t>
      </w:r>
      <w:r>
        <w:rPr>
          <w:rStyle w:val="Style_1_ch"/>
          <w:rFonts w:ascii="Times New Roman" w:hAnsi="Times New Roman"/>
          <w:sz w:val="28"/>
        </w:rPr>
        <w:t xml:space="preserve"> дневной учебной неделе.</w:t>
      </w:r>
    </w:p>
    <w:p w14:paraId="12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3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4000000">
      <w:pPr>
        <w:ind w:firstLine="567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В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языком об</w:t>
      </w:r>
      <w:r>
        <w:rPr>
          <w:rStyle w:val="Style_1_ch"/>
          <w:rFonts w:ascii="Times New Roman" w:hAnsi="Times New Roman"/>
          <w:sz w:val="28"/>
        </w:rPr>
        <w:t>учения</w:t>
      </w:r>
      <w:r>
        <w:rPr>
          <w:rStyle w:val="Style_1_ch"/>
          <w:rFonts w:ascii="Times New Roman" w:hAnsi="Times New Roman"/>
          <w:sz w:val="28"/>
        </w:rPr>
        <w:t xml:space="preserve"> является </w:t>
      </w:r>
      <w:r>
        <w:rPr>
          <w:rFonts w:ascii="Times New Roman" w:hAnsi="Times New Roman"/>
          <w:sz w:val="28"/>
        </w:rPr>
        <w:t xml:space="preserve">Русский и татарский языки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z w:val="28"/>
        </w:rPr>
        <w:t>.</w:t>
      </w:r>
    </w:p>
    <w:p w14:paraId="15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6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>
        <w:rPr>
          <w:rStyle w:val="Style_1_ch"/>
          <w:rFonts w:ascii="Times New Roman" w:hAnsi="Times New Roman"/>
          <w:sz w:val="28"/>
        </w:rPr>
        <w:t>.</w:t>
      </w:r>
    </w:p>
    <w:p w14:paraId="17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При изучении </w:t>
      </w:r>
      <w:r>
        <w:rPr>
          <w:rStyle w:val="Style_1_ch"/>
          <w:rFonts w:ascii="Times New Roman" w:hAnsi="Times New Roman"/>
          <w:sz w:val="28"/>
        </w:rPr>
        <w:t xml:space="preserve">предметов </w:t>
      </w:r>
      <w:r>
        <w:rPr>
          <w:rStyle w:val="Style_1_ch"/>
          <w:rFonts w:ascii="Times New Roman" w:hAnsi="Times New Roman"/>
        </w:rPr>
        <w:t xml:space="preserve"> </w:t>
      </w:r>
      <w:r>
        <w:rPr>
          <w:rStyle w:val="Style_1_ch"/>
          <w:rFonts w:ascii="Times New Roman" w:hAnsi="Times New Roman"/>
          <w:sz w:val="28"/>
        </w:rPr>
        <w:t>осуществляется д</w:t>
      </w:r>
      <w:r>
        <w:rPr>
          <w:rStyle w:val="Style_1_ch"/>
          <w:rFonts w:ascii="Times New Roman" w:hAnsi="Times New Roman"/>
          <w:sz w:val="28"/>
        </w:rPr>
        <w:t xml:space="preserve">еление </w:t>
      </w:r>
      <w:r>
        <w:rPr>
          <w:rStyle w:val="Style_1_ch"/>
          <w:rFonts w:ascii="Times New Roman" w:hAnsi="Times New Roman"/>
          <w:sz w:val="28"/>
        </w:rPr>
        <w:t xml:space="preserve">учащихся </w:t>
      </w:r>
      <w:r>
        <w:rPr>
          <w:rStyle w:val="Style_1_ch"/>
          <w:rFonts w:ascii="Times New Roman" w:hAnsi="Times New Roman"/>
          <w:sz w:val="28"/>
        </w:rPr>
        <w:t>на подгруппы</w:t>
      </w:r>
      <w:r>
        <w:rPr>
          <w:rStyle w:val="Style_1_ch"/>
          <w:rFonts w:ascii="Times New Roman" w:hAnsi="Times New Roman"/>
          <w:sz w:val="28"/>
        </w:rPr>
        <w:t>.</w:t>
      </w:r>
    </w:p>
    <w:p w14:paraId="18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Промежуточная аттестация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–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процедура, проводимая с целью оценки качества освоения обучающимися части содержания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(четвертное оценивание) или всего объема учебной дисциплины за учебный год (годовое оценивание).</w:t>
      </w:r>
    </w:p>
    <w:p w14:paraId="19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Промежуточная</w:t>
      </w:r>
      <w:r>
        <w:rPr>
          <w:rStyle w:val="Style_1_ch"/>
          <w:rFonts w:ascii="Times New Roman" w:hAnsi="Times New Roman"/>
          <w:sz w:val="28"/>
        </w:rPr>
        <w:t xml:space="preserve"> аттестация за четверть и </w:t>
      </w:r>
      <w:r>
        <w:rPr>
          <w:rStyle w:val="Style_1_ch"/>
          <w:rFonts w:ascii="Times New Roman" w:hAnsi="Times New Roman"/>
          <w:sz w:val="28"/>
        </w:rPr>
        <w:t>годовая аттестация обучающихся осуществляется в соответствии с календарным учебным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графиком.</w:t>
      </w:r>
    </w:p>
    <w:p w14:paraId="1A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 xml:space="preserve">образовательных отношений, являются </w:t>
      </w:r>
      <w:r>
        <w:rPr>
          <w:rStyle w:val="Style_1_ch"/>
          <w:rFonts w:ascii="Times New Roman" w:hAnsi="Times New Roman"/>
          <w:sz w:val="28"/>
        </w:rPr>
        <w:t>безотметочными</w:t>
      </w:r>
      <w:r>
        <w:rPr>
          <w:rStyle w:val="Style_1_ch"/>
          <w:rFonts w:ascii="Times New Roman" w:hAnsi="Times New Roman"/>
          <w:sz w:val="28"/>
        </w:rPr>
        <w:t xml:space="preserve"> и оцениваются «зачет» или «незачет» по итогам четверти. </w:t>
      </w:r>
    </w:p>
    <w:p w14:paraId="1B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Промежуточная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аттестация проходит на последней учебной неделе четверти.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Style_1_ch"/>
          <w:rFonts w:ascii="Times New Roman" w:hAnsi="Times New Roman"/>
          <w:sz w:val="28"/>
        </w:rPr>
        <w:br/>
      </w:r>
      <w:r>
        <w:rPr>
          <w:rStyle w:val="Style_1_ch"/>
          <w:rFonts w:ascii="Times New Roman" w:hAnsi="Times New Roman"/>
          <w:sz w:val="28"/>
        </w:rPr>
        <w:t xml:space="preserve">текущего контроля успеваемости и промежуточной аттестации обучающихся </w:t>
      </w:r>
      <w:r>
        <w:rPr>
          <w:rStyle w:val="Style_1_ch"/>
          <w:rFonts w:ascii="Times New Roman" w:hAnsi="Times New Roman"/>
          <w:sz w:val="28"/>
        </w:rPr>
        <w:t>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  <w:r>
        <w:rPr>
          <w:rStyle w:val="Style_1_ch"/>
          <w:rFonts w:ascii="Times New Roman" w:hAnsi="Times New Roman"/>
          <w:sz w:val="28"/>
        </w:rPr>
        <w:t>.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C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1D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Освоение основных образовательных программ начального общего образования завершается итоговой аттестацией.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Нормативный срок освоения ООП НОО составляет 4 года</w:t>
      </w:r>
      <w:r>
        <w:rPr>
          <w:rStyle w:val="Style_1_ch"/>
          <w:rFonts w:ascii="Times New Roman" w:hAnsi="Times New Roman"/>
          <w:sz w:val="28"/>
        </w:rPr>
        <w:t>.</w:t>
      </w:r>
      <w:bookmarkStart w:id="1" w:name="_GoBack"/>
      <w:bookmarkEnd w:id="1"/>
    </w:p>
    <w:p w14:paraId="1E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</w:p>
    <w:p w14:paraId="1F000000">
      <w:pPr>
        <w:ind w:firstLine="567"/>
        <w:jc w:val="both"/>
        <w:rPr>
          <w:rStyle w:val="Style_1_ch"/>
          <w:rFonts w:ascii="Times New Roman" w:hAnsi="Times New Roman"/>
          <w:sz w:val="28"/>
        </w:rPr>
      </w:pPr>
    </w:p>
    <w:p w14:paraId="20000000">
      <w:pPr>
        <w:rPr>
          <w:rStyle w:val="Style_1_ch"/>
          <w:rFonts w:ascii="Times New Roman" w:hAnsi="Times New Roman"/>
          <w:sz w:val="28"/>
        </w:rPr>
      </w:pPr>
    </w:p>
    <w:p w14:paraId="21000000">
      <w:pPr>
        <w:sectPr>
          <w:pgSz w:h="16838" w:orient="portrait" w:w="11906"/>
          <w:pgMar w:bottom="1134" w:footer="708" w:gutter="0" w:header="708" w:left="1134" w:right="850" w:top="1134"/>
        </w:sectPr>
      </w:pPr>
    </w:p>
    <w:p w14:paraId="22000000">
      <w:pPr>
        <w:ind w:firstLine="567"/>
        <w:jc w:val="center"/>
        <w:rPr>
          <w:rStyle w:val="Style_1_ch"/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УЧЕБНЫЙ ПЛАН НАЧАЛЬНОГО ОБЩЕГО ОБРАЗОВАНИЯ НА 2025-2026 УЧЕБНЫЙ ГОД</w:t>
      </w:r>
    </w:p>
    <w:tbl>
      <w:tblPr>
        <w:tblStyle w:val="Style_3"/>
        <w:tblLayout w:type="fixed"/>
      </w:tblPr>
      <w:tblGrid>
        <w:gridCol w:w="4742"/>
        <w:gridCol w:w="4742"/>
        <w:gridCol w:w="1267"/>
        <w:gridCol w:w="1267"/>
        <w:gridCol w:w="1267"/>
        <w:gridCol w:w="1267"/>
      </w:tblGrid>
      <w:tr>
        <w:tc>
          <w:tcPr>
            <w:tcW w:type="dxa" w:w="4742"/>
            <w:vMerge w:val="restart"/>
            <w:shd w:fill="D9D9D9" w:val="clear"/>
          </w:tcPr>
          <w:p w14:paraId="2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Предметная область</w:t>
            </w:r>
          </w:p>
        </w:tc>
        <w:tc>
          <w:tcPr>
            <w:tcW w:type="dxa" w:w="4742"/>
            <w:vMerge w:val="restart"/>
            <w:shd w:fill="D9D9D9" w:val="clear"/>
          </w:tcPr>
          <w:p w14:paraId="2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Учебный предмет/курс</w:t>
            </w:r>
          </w:p>
        </w:tc>
        <w:tc>
          <w:tcPr>
            <w:tcW w:type="dxa" w:w="5068"/>
            <w:gridSpan w:val="4"/>
            <w:shd w:fill="D9D9D9" w:val="clear"/>
          </w:tcPr>
          <w:p w14:paraId="2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742"/>
            <w:gridSpan w:val="1"/>
            <w:vMerge w:val="continue"/>
            <w:shd w:fill="D9D9D9" w:val="clear"/>
          </w:tcPr>
          <w:p/>
        </w:tc>
        <w:tc>
          <w:tcPr>
            <w:tcW w:type="dxa" w:w="4742"/>
            <w:gridSpan w:val="1"/>
            <w:vMerge w:val="continue"/>
            <w:shd w:fill="D9D9D9" w:val="clear"/>
          </w:tcPr>
          <w:p/>
        </w:tc>
        <w:tc>
          <w:tcPr>
            <w:tcW w:type="dxa" w:w="1267"/>
            <w:shd w:fill="D9D9D9" w:val="clear"/>
          </w:tcPr>
          <w:p w14:paraId="2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1а</w:t>
            </w:r>
          </w:p>
        </w:tc>
        <w:tc>
          <w:tcPr>
            <w:tcW w:type="dxa" w:w="1267"/>
            <w:shd w:fill="D9D9D9" w:val="clear"/>
          </w:tcPr>
          <w:p w14:paraId="2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2а</w:t>
            </w:r>
          </w:p>
        </w:tc>
        <w:tc>
          <w:tcPr>
            <w:tcW w:type="dxa" w:w="1267"/>
            <w:shd w:fill="D9D9D9" w:val="clear"/>
          </w:tcPr>
          <w:p w14:paraId="2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3а</w:t>
            </w:r>
          </w:p>
        </w:tc>
        <w:tc>
          <w:tcPr>
            <w:tcW w:type="dxa" w:w="1267"/>
            <w:shd w:fill="D9D9D9" w:val="clear"/>
          </w:tcPr>
          <w:p w14:paraId="2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4а</w:t>
            </w:r>
          </w:p>
        </w:tc>
      </w:tr>
      <w:tr>
        <w:tc>
          <w:tcPr>
            <w:tcW w:type="dxa" w:w="14552"/>
            <w:gridSpan w:val="6"/>
            <w:shd w:fill="FFFFB3" w:val="clear"/>
          </w:tcPr>
          <w:p w14:paraId="2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Обязательная часть</w:t>
            </w:r>
          </w:p>
        </w:tc>
      </w:tr>
      <w:tr>
        <w:tc>
          <w:tcPr>
            <w:tcW w:type="dxa" w:w="4742"/>
            <w:vMerge w:val="restart"/>
          </w:tcPr>
          <w:p w14:paraId="2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type="dxa" w:w="4742"/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267"/>
          </w:tcPr>
          <w:p w14:paraId="2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67"/>
          </w:tcPr>
          <w:p w14:paraId="2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67"/>
          </w:tcPr>
          <w:p w14:paraId="2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67"/>
          </w:tcPr>
          <w:p w14:paraId="3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c>
          <w:tcPr>
            <w:tcW w:type="dxa" w:w="4742"/>
            <w:gridSpan w:val="1"/>
            <w:vMerge w:val="continue"/>
          </w:tcPr>
          <w:p/>
        </w:tc>
        <w:tc>
          <w:tcPr>
            <w:tcW w:type="dxa" w:w="4742"/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type="dxa" w:w="1267"/>
          </w:tcPr>
          <w:p w14:paraId="3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67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67"/>
          </w:tcPr>
          <w:p w14:paraId="3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67"/>
          </w:tcPr>
          <w:p w14:paraId="3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42"/>
            <w:vMerge w:val="restart"/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type="dxa" w:w="4742"/>
          </w:tcPr>
          <w:p w14:paraId="3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type="dxa" w:w="1267"/>
          </w:tcPr>
          <w:p w14:paraId="3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3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67"/>
          </w:tcPr>
          <w:p w14:paraId="3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67"/>
          </w:tcPr>
          <w:p w14:paraId="3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742"/>
            <w:gridSpan w:val="1"/>
            <w:vMerge w:val="continue"/>
          </w:tcPr>
          <w:p/>
        </w:tc>
        <w:tc>
          <w:tcPr>
            <w:tcW w:type="dxa" w:w="4742"/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type="dxa" w:w="1267"/>
          </w:tcPr>
          <w:p w14:paraId="3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3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3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4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42"/>
          </w:tcPr>
          <w:p w14:paraId="4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type="dxa" w:w="4742"/>
          </w:tcPr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type="dxa" w:w="1267"/>
          </w:tcPr>
          <w:p w14:paraId="4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4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4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42"/>
          </w:tcPr>
          <w:p w14:paraId="4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type="dxa" w:w="4742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267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67"/>
          </w:tcPr>
          <w:p w14:paraId="4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67"/>
          </w:tcPr>
          <w:p w14:paraId="4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67"/>
          </w:tcPr>
          <w:p w14:paraId="4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c>
          <w:tcPr>
            <w:tcW w:type="dxa" w:w="4742"/>
          </w:tcPr>
          <w:p w14:paraId="4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 и естествознание ("окружающий мир")</w:t>
            </w:r>
          </w:p>
        </w:tc>
        <w:tc>
          <w:tcPr>
            <w:tcW w:type="dxa" w:w="4742"/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type="dxa" w:w="1267"/>
          </w:tcPr>
          <w:p w14:paraId="4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5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5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5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742"/>
          </w:tcPr>
          <w:p w14:paraId="5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type="dxa" w:w="4742"/>
          </w:tcPr>
          <w:p w14:paraId="5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type="dxa" w:w="1267"/>
          </w:tcPr>
          <w:p w14:paraId="5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</w:tcPr>
          <w:p w14:paraId="5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</w:tcPr>
          <w:p w14:paraId="5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</w:tcPr>
          <w:p w14:paraId="5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42"/>
            <w:vMerge w:val="restart"/>
          </w:tcPr>
          <w:p w14:paraId="5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type="dxa" w:w="4742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type="dxa" w:w="1267"/>
          </w:tcPr>
          <w:p w14:paraId="5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type="dxa" w:w="1267"/>
          </w:tcPr>
          <w:p w14:paraId="5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5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5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42"/>
            <w:gridSpan w:val="1"/>
            <w:vMerge w:val="continue"/>
          </w:tcPr>
          <w:p/>
        </w:tc>
        <w:tc>
          <w:tcPr>
            <w:tcW w:type="dxa" w:w="4742"/>
          </w:tcPr>
          <w:p w14:paraId="5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267"/>
          </w:tcPr>
          <w:p w14:paraId="6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type="dxa" w:w="1267"/>
          </w:tcPr>
          <w:p w14:paraId="6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6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6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42"/>
          </w:tcPr>
          <w:p w14:paraId="6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type="dxa" w:w="4742"/>
          </w:tcPr>
          <w:p w14:paraId="6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type="dxa" w:w="1267"/>
          </w:tcPr>
          <w:p w14:paraId="6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6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6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6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742"/>
          </w:tcPr>
          <w:p w14:paraId="6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4742"/>
          </w:tcPr>
          <w:p w14:paraId="6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267"/>
          </w:tcPr>
          <w:p w14:paraId="6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6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6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</w:tcPr>
          <w:p w14:paraId="6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9484"/>
            <w:gridSpan w:val="2"/>
            <w:shd w:fill="00FF00" w:val="clear"/>
          </w:tcPr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267"/>
            <w:shd w:fill="00FF00" w:val="clear"/>
          </w:tcPr>
          <w:p w14:paraId="7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1267"/>
            <w:shd w:fill="00FF00" w:val="clear"/>
          </w:tcPr>
          <w:p w14:paraId="7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1267"/>
            <w:shd w:fill="00FF00" w:val="clear"/>
          </w:tcPr>
          <w:p w14:paraId="7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1267"/>
            <w:shd w:fill="00FF00" w:val="clear"/>
          </w:tcPr>
          <w:p w14:paraId="7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>
        <w:tc>
          <w:tcPr>
            <w:tcW w:type="dxa" w:w="14552"/>
            <w:gridSpan w:val="6"/>
            <w:shd w:fill="FFFFB3" w:val="clear"/>
          </w:tcPr>
          <w:p w14:paraId="7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9484"/>
            <w:gridSpan w:val="2"/>
            <w:shd w:fill="D9D9D9" w:val="clear"/>
          </w:tcPr>
          <w:p w14:paraId="7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Наименование учебного курса</w:t>
            </w:r>
          </w:p>
        </w:tc>
        <w:tc>
          <w:tcPr>
            <w:tcW w:type="dxa" w:w="1267"/>
            <w:shd w:fill="D9D9D9" w:val="clear"/>
          </w:tcPr>
          <w:p w14:paraId="77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267"/>
            <w:shd w:fill="D9D9D9" w:val="clear"/>
          </w:tcPr>
          <w:p w14:paraId="7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267"/>
            <w:shd w:fill="D9D9D9" w:val="clear"/>
          </w:tcPr>
          <w:p w14:paraId="7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267"/>
            <w:shd w:fill="D9D9D9" w:val="clear"/>
          </w:tcPr>
          <w:p w14:paraId="7A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84"/>
            <w:gridSpan w:val="2"/>
          </w:tcPr>
          <w:p w14:paraId="7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"Математический практикум"</w:t>
            </w:r>
          </w:p>
        </w:tc>
        <w:tc>
          <w:tcPr>
            <w:tcW w:type="dxa" w:w="1267"/>
          </w:tcPr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</w:tcPr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7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9484"/>
            <w:gridSpan w:val="2"/>
          </w:tcPr>
          <w:p w14:paraId="8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"Спорт и здоровый образ жизни"</w:t>
            </w:r>
          </w:p>
        </w:tc>
        <w:tc>
          <w:tcPr>
            <w:tcW w:type="dxa" w:w="1267"/>
          </w:tcPr>
          <w:p w14:paraId="8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</w:tcPr>
          <w:p w14:paraId="8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67"/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9484"/>
            <w:gridSpan w:val="2"/>
            <w:shd w:fill="00FF00" w:val="clear"/>
          </w:tcPr>
          <w:p w14:paraId="8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267"/>
            <w:shd w:fill="00FF00" w:val="clear"/>
          </w:tcPr>
          <w:p w14:paraId="8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67"/>
            <w:shd w:fill="00FF00" w:val="clear"/>
          </w:tcPr>
          <w:p w14:paraId="8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  <w:shd w:fill="00FF00" w:val="clear"/>
          </w:tcPr>
          <w:p w14:paraId="8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7"/>
            <w:shd w:fill="00FF00" w:val="clear"/>
          </w:tcPr>
          <w:p w14:paraId="8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9484"/>
            <w:gridSpan w:val="2"/>
            <w:shd w:fill="00FF00" w:val="clear"/>
          </w:tcPr>
          <w:p w14:paraId="8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type="dxa" w:w="1267"/>
            <w:shd w:fill="00FF00" w:val="clear"/>
          </w:tcPr>
          <w:p w14:paraId="8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1267"/>
            <w:shd w:fill="00FF00" w:val="clear"/>
          </w:tcPr>
          <w:p w14:paraId="8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1267"/>
            <w:shd w:fill="00FF00" w:val="clear"/>
          </w:tcPr>
          <w:p w14:paraId="8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1267"/>
            <w:shd w:fill="00FF00" w:val="clear"/>
          </w:tcPr>
          <w:p w14:paraId="8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>
        <w:tc>
          <w:tcPr>
            <w:tcW w:type="dxa" w:w="9484"/>
            <w:gridSpan w:val="2"/>
            <w:shd w:fill="FCE3FC" w:val="clear"/>
          </w:tcPr>
          <w:p w14:paraId="8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учебных недель</w:t>
            </w:r>
          </w:p>
        </w:tc>
        <w:tc>
          <w:tcPr>
            <w:tcW w:type="dxa" w:w="1267"/>
            <w:shd w:fill="FCE3FC" w:val="clear"/>
          </w:tcPr>
          <w:p w14:paraId="9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1267"/>
            <w:shd w:fill="FCE3FC" w:val="clear"/>
          </w:tcPr>
          <w:p w14:paraId="9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267"/>
            <w:shd w:fill="FCE3FC" w:val="clear"/>
          </w:tcPr>
          <w:p w14:paraId="9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267"/>
            <w:shd w:fill="FCE3FC" w:val="clear"/>
          </w:tcPr>
          <w:p w14:paraId="9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>
        <w:tc>
          <w:tcPr>
            <w:tcW w:type="dxa" w:w="9484"/>
            <w:gridSpan w:val="2"/>
            <w:shd w:fill="FCE3FC" w:val="clear"/>
          </w:tcPr>
          <w:p w14:paraId="9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 в год</w:t>
            </w:r>
          </w:p>
        </w:tc>
        <w:tc>
          <w:tcPr>
            <w:tcW w:type="dxa" w:w="1267"/>
            <w:shd w:fill="FCE3FC" w:val="clear"/>
          </w:tcPr>
          <w:p w14:paraId="9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</w:p>
        </w:tc>
        <w:tc>
          <w:tcPr>
            <w:tcW w:type="dxa" w:w="1267"/>
            <w:shd w:fill="FCE3FC" w:val="clear"/>
          </w:tcPr>
          <w:p w14:paraId="9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</w:p>
        </w:tc>
        <w:tc>
          <w:tcPr>
            <w:tcW w:type="dxa" w:w="1267"/>
            <w:shd w:fill="FCE3FC" w:val="clear"/>
          </w:tcPr>
          <w:p w14:paraId="9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</w:p>
        </w:tc>
        <w:tc>
          <w:tcPr>
            <w:tcW w:type="dxa" w:w="1267"/>
            <w:shd w:fill="FCE3FC" w:val="clear"/>
          </w:tcPr>
          <w:p w14:paraId="9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</w:p>
        </w:tc>
      </w:tr>
    </w:tbl>
    <w:p w14:paraId="99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A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32"/>
        </w:rPr>
        <w:t>План внеурочной деятельности (недельный)</w:t>
      </w:r>
    </w:p>
    <w:p w14:paraId="9B000000">
      <w:pPr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</w:p>
    <w:tbl>
      <w:tblPr>
        <w:tblStyle w:val="Style_3"/>
        <w:tblLayout w:type="fixed"/>
      </w:tblPr>
      <w:tblGrid>
        <w:gridCol w:w="4850"/>
        <w:gridCol w:w="2425"/>
        <w:gridCol w:w="2425"/>
        <w:gridCol w:w="2425"/>
        <w:gridCol w:w="2425"/>
      </w:tblGrid>
      <w:tr>
        <w:tc>
          <w:tcPr>
            <w:tcW w:type="dxa" w:w="4850"/>
            <w:vMerge w:val="restart"/>
            <w:shd w:fill="D9D9D9" w:val="clear"/>
          </w:tcPr>
          <w:p w14:paraId="9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Учебные курсы</w:t>
            </w:r>
          </w:p>
          <w:p w14:paraId="9D000000">
            <w:pPr>
              <w:rPr>
                <w:rFonts w:ascii="Times New Roman" w:hAnsi="Times New Roman"/>
              </w:rPr>
            </w:pPr>
          </w:p>
        </w:tc>
        <w:tc>
          <w:tcPr>
            <w:tcW w:type="dxa" w:w="9700"/>
            <w:gridSpan w:val="4"/>
            <w:shd w:fill="D9D9D9" w:val="clear"/>
          </w:tcPr>
          <w:p w14:paraId="9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850"/>
            <w:gridSpan w:val="1"/>
            <w:vMerge w:val="continue"/>
            <w:shd w:fill="D9D9D9" w:val="clear"/>
          </w:tcPr>
          <w:p/>
        </w:tc>
        <w:tc>
          <w:tcPr>
            <w:tcW w:type="dxa" w:w="2425"/>
            <w:shd w:fill="D9D9D9" w:val="clear"/>
          </w:tcPr>
          <w:p w14:paraId="9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1а</w:t>
            </w:r>
          </w:p>
        </w:tc>
        <w:tc>
          <w:tcPr>
            <w:tcW w:type="dxa" w:w="2425"/>
            <w:shd w:fill="D9D9D9" w:val="clear"/>
          </w:tcPr>
          <w:p w14:paraId="A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2а</w:t>
            </w:r>
          </w:p>
        </w:tc>
        <w:tc>
          <w:tcPr>
            <w:tcW w:type="dxa" w:w="2425"/>
            <w:shd w:fill="D9D9D9" w:val="clear"/>
          </w:tcPr>
          <w:p w14:paraId="A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3а</w:t>
            </w:r>
          </w:p>
        </w:tc>
        <w:tc>
          <w:tcPr>
            <w:tcW w:type="dxa" w:w="2425"/>
            <w:shd w:fill="D9D9D9" w:val="clear"/>
          </w:tcPr>
          <w:p w14:paraId="A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4а</w:t>
            </w:r>
          </w:p>
        </w:tc>
      </w:tr>
      <w:tr>
        <w:tc>
          <w:tcPr>
            <w:tcW w:type="dxa" w:w="4850"/>
          </w:tcPr>
          <w:p w14:paraId="A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"Разговоры о важном"</w:t>
            </w:r>
          </w:p>
        </w:tc>
        <w:tc>
          <w:tcPr>
            <w:tcW w:type="dxa" w:w="2425"/>
          </w:tcPr>
          <w:p w14:paraId="A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A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A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A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A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"Орлята России"</w:t>
            </w:r>
          </w:p>
        </w:tc>
        <w:tc>
          <w:tcPr>
            <w:tcW w:type="dxa" w:w="2425"/>
          </w:tcPr>
          <w:p w14:paraId="A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A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A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A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A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"Читаем. считаем. наблюдаем. Функциональная грамотность"</w:t>
            </w:r>
          </w:p>
        </w:tc>
        <w:tc>
          <w:tcPr>
            <w:tcW w:type="dxa" w:w="2425"/>
          </w:tcPr>
          <w:p w14:paraId="A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A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B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B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B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"Юный баскетболист"</w:t>
            </w:r>
          </w:p>
        </w:tc>
        <w:tc>
          <w:tcPr>
            <w:tcW w:type="dxa" w:w="2425"/>
          </w:tcPr>
          <w:p w14:paraId="B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B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B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B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"Всеобуч по плаванию"</w:t>
            </w:r>
          </w:p>
        </w:tc>
        <w:tc>
          <w:tcPr>
            <w:tcW w:type="dxa" w:w="2425"/>
          </w:tcPr>
          <w:p w14:paraId="B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B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B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B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850"/>
          </w:tcPr>
          <w:p w14:paraId="B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"Белая ладья"</w:t>
            </w:r>
          </w:p>
        </w:tc>
        <w:tc>
          <w:tcPr>
            <w:tcW w:type="dxa" w:w="2425"/>
          </w:tcPr>
          <w:p w14:paraId="B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B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B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C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мире искусства»</w:t>
            </w:r>
          </w:p>
        </w:tc>
        <w:tc>
          <w:tcPr>
            <w:tcW w:type="dxa" w:w="2425"/>
          </w:tcPr>
          <w:p w14:paraId="C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C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C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850"/>
          </w:tcPr>
          <w:p w14:paraId="C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"Мои первые проекты"</w:t>
            </w:r>
          </w:p>
        </w:tc>
        <w:tc>
          <w:tcPr>
            <w:tcW w:type="dxa" w:w="2425"/>
          </w:tcPr>
          <w:p w14:paraId="C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C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"Театральная студия "МИМ"</w:t>
            </w:r>
          </w:p>
        </w:tc>
        <w:tc>
          <w:tcPr>
            <w:tcW w:type="dxa" w:w="2425"/>
          </w:tcPr>
          <w:p w14:paraId="C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C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D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"Танцы"</w:t>
            </w:r>
          </w:p>
        </w:tc>
        <w:tc>
          <w:tcPr>
            <w:tcW w:type="dxa" w:w="2425"/>
          </w:tcPr>
          <w:p w14:paraId="D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D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"Основы логики и алгоритмики"</w:t>
            </w:r>
          </w:p>
        </w:tc>
        <w:tc>
          <w:tcPr>
            <w:tcW w:type="dxa" w:w="2425"/>
          </w:tcPr>
          <w:p w14:paraId="D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D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"Хочу все знать!"</w:t>
            </w:r>
          </w:p>
        </w:tc>
        <w:tc>
          <w:tcPr>
            <w:tcW w:type="dxa" w:w="2425"/>
          </w:tcPr>
          <w:p w14:paraId="D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  <w:shd w:fill="00FF00" w:val="clear"/>
          </w:tcPr>
          <w:p w14:paraId="D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type="dxa" w:w="2425"/>
            <w:shd w:fill="00FF00" w:val="clear"/>
          </w:tcPr>
          <w:p w14:paraId="E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425"/>
            <w:shd w:fill="00FF00" w:val="clear"/>
          </w:tcPr>
          <w:p w14:paraId="E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425"/>
            <w:shd w:fill="00FF00" w:val="clear"/>
          </w:tcPr>
          <w:p w14:paraId="E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425"/>
            <w:shd w:fill="00FF00" w:val="clear"/>
          </w:tcPr>
          <w:p w14:paraId="E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E4000000">
      <w:pPr>
        <w:rPr>
          <w:rFonts w:ascii="Times New Roman" w:hAnsi="Times New Roman"/>
        </w:rPr>
      </w:pPr>
    </w:p>
    <w:p w14:paraId="E5000000">
      <w:pPr>
        <w:rPr>
          <w:rFonts w:ascii="Times New Roman" w:hAnsi="Times New Roman"/>
        </w:rPr>
      </w:pPr>
    </w:p>
    <w:p w14:paraId="E6000000">
      <w:pPr>
        <w:rPr>
          <w:rFonts w:ascii="Times New Roman" w:hAnsi="Times New Roman"/>
        </w:rPr>
      </w:pPr>
    </w:p>
    <w:p w14:paraId="E7000000">
      <w:pPr>
        <w:rPr>
          <w:rFonts w:ascii="Times New Roman" w:hAnsi="Times New Roman"/>
        </w:rPr>
      </w:pPr>
    </w:p>
    <w:p w14:paraId="E8000000">
      <w:pPr>
        <w:rPr>
          <w:rFonts w:ascii="Times New Roman" w:hAnsi="Times New Roman"/>
        </w:rPr>
      </w:pPr>
    </w:p>
    <w:p w14:paraId="E9000000">
      <w:pPr>
        <w:rPr>
          <w:rFonts w:ascii="Times New Roman" w:hAnsi="Times New Roman"/>
        </w:rPr>
      </w:pPr>
    </w:p>
    <w:p w14:paraId="EA000000">
      <w:pPr>
        <w:rPr>
          <w:rFonts w:ascii="Times New Roman" w:hAnsi="Times New Roman"/>
        </w:rPr>
      </w:pPr>
    </w:p>
    <w:p w14:paraId="EB000000">
      <w:pPr>
        <w:rPr>
          <w:rFonts w:ascii="Times New Roman" w:hAnsi="Times New Roman"/>
        </w:rPr>
      </w:pPr>
    </w:p>
    <w:p w14:paraId="EC000000">
      <w:pPr>
        <w:rPr>
          <w:rFonts w:ascii="Times New Roman" w:hAnsi="Times New Roman"/>
        </w:rPr>
      </w:pPr>
    </w:p>
    <w:p w14:paraId="ED000000">
      <w:pPr>
        <w:rPr>
          <w:rFonts w:ascii="Times New Roman" w:hAnsi="Times New Roman"/>
        </w:rPr>
      </w:pPr>
    </w:p>
    <w:p w14:paraId="EE000000">
      <w:pPr>
        <w:ind/>
        <w:jc w:val="center"/>
        <w:rPr>
          <w:rFonts w:ascii="Times New Roman" w:hAnsi="Times New Roman"/>
          <w:b w:val="1"/>
          <w:highlight w:val="white"/>
        </w:rPr>
      </w:pPr>
      <w:r>
        <w:rPr>
          <w:rFonts w:ascii="Times New Roman" w:hAnsi="Times New Roman"/>
          <w:b w:val="1"/>
          <w:highlight w:val="white"/>
        </w:rPr>
        <w:t>Формы</w:t>
      </w:r>
    </w:p>
    <w:p w14:paraId="EF000000">
      <w:pPr>
        <w:spacing w:line="240" w:lineRule="atLeast"/>
        <w:ind/>
        <w:jc w:val="center"/>
        <w:rPr>
          <w:rFonts w:ascii="Times New Roman" w:hAnsi="Times New Roman"/>
          <w:b w:val="1"/>
          <w:highlight w:val="white"/>
        </w:rPr>
      </w:pPr>
      <w:r>
        <w:rPr>
          <w:rFonts w:ascii="Times New Roman" w:hAnsi="Times New Roman"/>
          <w:b w:val="1"/>
          <w:highlight w:val="white"/>
        </w:rPr>
        <w:t xml:space="preserve">промежуточной аттестации по учебным дисциплинам </w:t>
      </w:r>
      <w:r>
        <w:rPr>
          <w:rFonts w:ascii="Times New Roman" w:hAnsi="Times New Roman"/>
          <w:b w:val="1"/>
          <w:highlight w:val="white"/>
        </w:rPr>
        <w:t>на 2025-2026 учебный год</w:t>
      </w:r>
    </w:p>
    <w:p w14:paraId="F0000000">
      <w:pPr>
        <w:ind/>
        <w:jc w:val="center"/>
        <w:rPr>
          <w:rFonts w:ascii="Times New Roman" w:hAnsi="Times New Roman"/>
          <w:b w:val="1"/>
          <w:highlight w:val="white"/>
        </w:rPr>
      </w:pPr>
      <w:r>
        <w:rPr>
          <w:rFonts w:ascii="Times New Roman" w:hAnsi="Times New Roman"/>
          <w:b w:val="1"/>
          <w:highlight w:val="white"/>
        </w:rPr>
        <w:t>Начальное общее образование</w:t>
      </w:r>
    </w:p>
    <w:tbl>
      <w:tblPr>
        <w:tblStyle w:val="Style_4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79"/>
        <w:gridCol w:w="1130"/>
        <w:gridCol w:w="1473"/>
        <w:gridCol w:w="1417"/>
        <w:gridCol w:w="1501"/>
      </w:tblGrid>
      <w:tr>
        <w:tc>
          <w:tcPr>
            <w:tcW w:type="dxa" w:w="467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Предмет</w:t>
            </w:r>
          </w:p>
        </w:tc>
        <w:tc>
          <w:tcPr>
            <w:tcW w:type="dxa" w:w="5521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Класс </w:t>
            </w:r>
          </w:p>
        </w:tc>
      </w:tr>
      <w:tr>
        <w:trPr>
          <w:trHeight w:hRule="atLeast" w:val="243"/>
        </w:trPr>
        <w:tc>
          <w:tcPr>
            <w:tcW w:type="dxa" w:w="467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3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4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Русский язык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КС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</w:t>
            </w:r>
            <w:r>
              <w:rPr>
                <w:rFonts w:ascii="Times New Roman" w:hAnsi="Times New Roman"/>
                <w:highlight w:val="white"/>
              </w:rPr>
              <w:t>Д(</w:t>
            </w:r>
            <w:r>
              <w:rPr>
                <w:rFonts w:ascii="Times New Roman" w:hAnsi="Times New Roman"/>
                <w:highlight w:val="white"/>
              </w:rPr>
              <w:t>ГЗ)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</w:t>
            </w:r>
            <w:r>
              <w:rPr>
                <w:rFonts w:ascii="Times New Roman" w:hAnsi="Times New Roman"/>
                <w:highlight w:val="white"/>
              </w:rPr>
              <w:t>Д(</w:t>
            </w:r>
            <w:r>
              <w:rPr>
                <w:rFonts w:ascii="Times New Roman" w:hAnsi="Times New Roman"/>
                <w:highlight w:val="white"/>
              </w:rPr>
              <w:t>ГЗ)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</w:t>
            </w:r>
            <w:r>
              <w:rPr>
                <w:rFonts w:ascii="Times New Roman" w:hAnsi="Times New Roman"/>
                <w:highlight w:val="white"/>
              </w:rPr>
              <w:t>Д(</w:t>
            </w:r>
            <w:r>
              <w:rPr>
                <w:rFonts w:ascii="Times New Roman" w:hAnsi="Times New Roman"/>
                <w:highlight w:val="white"/>
              </w:rPr>
              <w:t>ГЗ)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Литературное чтение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Математика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КР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КР/ГО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КР/ГО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КР/ГО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Обществознание и естествознание (Окружающий мир)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Родной (татарский) язык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КС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r>
              <w:rPr>
                <w:rFonts w:ascii="Times New Roman" w:hAnsi="Times New Roman"/>
                <w:highlight w:val="white"/>
              </w:rPr>
              <w:t>К</w:t>
            </w:r>
            <w:r>
              <w:rPr>
                <w:rFonts w:ascii="Times New Roman" w:hAnsi="Times New Roman"/>
                <w:highlight w:val="white"/>
              </w:rPr>
              <w:t>Д(</w:t>
            </w:r>
            <w:r>
              <w:rPr>
                <w:rFonts w:ascii="Times New Roman" w:hAnsi="Times New Roman"/>
                <w:highlight w:val="white"/>
              </w:rPr>
              <w:t>ГЗ)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</w:t>
            </w:r>
            <w:r>
              <w:rPr>
                <w:rFonts w:ascii="Times New Roman" w:hAnsi="Times New Roman"/>
                <w:highlight w:val="white"/>
              </w:rPr>
              <w:t>Д(</w:t>
            </w:r>
            <w:r>
              <w:rPr>
                <w:rFonts w:ascii="Times New Roman" w:hAnsi="Times New Roman"/>
                <w:highlight w:val="white"/>
              </w:rPr>
              <w:t>ГЗ)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r>
              <w:rPr>
                <w:rFonts w:ascii="Times New Roman" w:hAnsi="Times New Roman"/>
                <w:highlight w:val="white"/>
              </w:rPr>
              <w:t>К</w:t>
            </w:r>
            <w:r>
              <w:rPr>
                <w:rFonts w:ascii="Times New Roman" w:hAnsi="Times New Roman"/>
                <w:highlight w:val="white"/>
              </w:rPr>
              <w:t>Д(</w:t>
            </w:r>
            <w:r>
              <w:rPr>
                <w:rFonts w:ascii="Times New Roman" w:hAnsi="Times New Roman"/>
                <w:highlight w:val="white"/>
              </w:rPr>
              <w:t>ГЗ)</w:t>
            </w:r>
            <w:r>
              <w:rPr>
                <w:rFonts w:ascii="Times New Roman" w:hAnsi="Times New Roman"/>
                <w:sz w:val="24"/>
                <w:highlight w:val="white"/>
              </w:rPr>
              <w:t>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Литературное чтение на родном (тат) языке 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ГО/ Т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ГО/ Т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Иностранный  (английский) язык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-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КР/ГО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ГО/</w:t>
            </w:r>
            <w:r>
              <w:rPr>
                <w:rFonts w:ascii="Times New Roman" w:hAnsi="Times New Roman"/>
                <w:highlight w:val="white"/>
              </w:rPr>
              <w:t>КР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ГО/</w:t>
            </w:r>
            <w:r>
              <w:rPr>
                <w:rFonts w:ascii="Times New Roman" w:hAnsi="Times New Roman"/>
                <w:highlight w:val="white"/>
              </w:rPr>
              <w:t>КР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Основы религиозных культур и светской этики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-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-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Т 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Музыка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Изобразительное искусство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П/ГО</w:t>
            </w:r>
          </w:p>
        </w:tc>
      </w:tr>
      <w:t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Технология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П/ГО</w:t>
            </w:r>
          </w:p>
        </w:tc>
      </w:tr>
      <w:tr>
        <w:trPr>
          <w:trHeight w:hRule="atLeast" w:val="307"/>
        </w:trPr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0"/>
              <w:spacing w:line="276" w:lineRule="auto"/>
              <w:ind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Физическая культура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  <w:tc>
          <w:tcPr>
            <w:tcW w:type="dxa" w:w="15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0"/>
              <w:spacing w:line="276" w:lineRule="auto"/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Т/ГО</w:t>
            </w:r>
          </w:p>
        </w:tc>
      </w:tr>
    </w:tbl>
    <w:p w14:paraId="33010000">
      <w:pPr>
        <w:ind w:firstLine="578"/>
        <w:jc w:val="both"/>
        <w:rPr>
          <w:rFonts w:ascii="Times New Roman" w:hAnsi="Times New Roman"/>
          <w:highlight w:val="white"/>
        </w:rPr>
      </w:pPr>
    </w:p>
    <w:p w14:paraId="34010000">
      <w:pPr>
        <w:ind w:firstLine="57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Условные обозначения:</w:t>
      </w:r>
    </w:p>
    <w:p w14:paraId="35010000">
      <w:pPr>
        <w:ind w:firstLine="57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КР</w:t>
      </w:r>
      <w:r>
        <w:rPr>
          <w:rFonts w:ascii="Times New Roman" w:hAnsi="Times New Roman"/>
          <w:highlight w:val="white"/>
        </w:rPr>
        <w:t xml:space="preserve"> – контрольная работа, </w:t>
      </w:r>
      <w:r>
        <w:rPr>
          <w:rFonts w:ascii="Times New Roman" w:hAnsi="Times New Roman"/>
          <w:highlight w:val="white"/>
        </w:rPr>
        <w:t xml:space="preserve">КС – контрольное списывание, </w:t>
      </w:r>
      <w:r>
        <w:rPr>
          <w:rFonts w:ascii="Times New Roman" w:hAnsi="Times New Roman"/>
          <w:highlight w:val="white"/>
        </w:rPr>
        <w:t xml:space="preserve">ГО – годовая отметка, </w:t>
      </w:r>
      <w:r>
        <w:rPr>
          <w:rFonts w:ascii="Times New Roman" w:hAnsi="Times New Roman"/>
          <w:highlight w:val="white"/>
        </w:rPr>
        <w:t>КД (ГЗ) – контрольный диктант с грамматическим заданием</w:t>
      </w:r>
    </w:p>
    <w:p w14:paraId="36010000">
      <w:pPr>
        <w:ind w:firstLine="578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Т – тест, </w:t>
      </w:r>
      <w:r>
        <w:rPr>
          <w:rFonts w:ascii="Times New Roman" w:hAnsi="Times New Roman"/>
          <w:highlight w:val="white"/>
        </w:rPr>
        <w:t>П</w:t>
      </w:r>
      <w:r>
        <w:rPr>
          <w:rFonts w:ascii="Times New Roman" w:hAnsi="Times New Roman"/>
          <w:highlight w:val="white"/>
        </w:rPr>
        <w:t xml:space="preserve"> – проект, </w:t>
      </w:r>
      <w:r>
        <w:rPr>
          <w:rFonts w:ascii="Times New Roman" w:hAnsi="Times New Roman"/>
          <w:highlight w:val="white"/>
        </w:rPr>
        <w:t>КО</w:t>
      </w:r>
      <w:r>
        <w:rPr>
          <w:rFonts w:ascii="Times New Roman" w:hAnsi="Times New Roman"/>
          <w:highlight w:val="white"/>
        </w:rPr>
        <w:t xml:space="preserve"> – качественная оценка</w:t>
      </w:r>
    </w:p>
    <w:sectPr>
      <w:pgSz w:h="11900" w:orient="landscape" w:w="16820"/>
      <w:pgMar w:bottom="1134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"/>
      <w:lvlJc w:val="left"/>
      <w:pPr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annotation text"/>
    <w:basedOn w:val="Style_5"/>
    <w:link w:val="Style_10_ch"/>
    <w:pPr>
      <w:spacing w:line="240" w:lineRule="auto"/>
      <w:ind/>
    </w:pPr>
    <w:rPr>
      <w:sz w:val="20"/>
    </w:rPr>
  </w:style>
  <w:style w:styleId="Style_10_ch" w:type="character">
    <w:name w:val="annotation text"/>
    <w:basedOn w:val="Style_5_ch"/>
    <w:link w:val="Style_10"/>
    <w:rPr>
      <w:sz w:val="20"/>
    </w:rPr>
  </w:style>
  <w:style w:styleId="Style_11" w:type="paragraph">
    <w:name w:val="heading 3"/>
    <w:basedOn w:val="Style_5"/>
    <w:link w:val="Style_11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1_ch" w:type="character">
    <w:name w:val="heading 3"/>
    <w:basedOn w:val="Style_5_ch"/>
    <w:link w:val="Style_11"/>
    <w:rPr>
      <w:rFonts w:ascii="Times New Roman" w:hAnsi="Times New Roman"/>
      <w:b w:val="1"/>
      <w:sz w:val="27"/>
    </w:rPr>
  </w:style>
  <w:style w:styleId="Style_12" w:type="paragraph">
    <w:name w:val="Balloon Text"/>
    <w:basedOn w:val="Style_5"/>
    <w:link w:val="Style_12_ch"/>
    <w:pPr>
      <w:spacing w:after="0" w:line="240" w:lineRule="auto"/>
      <w:ind/>
    </w:pPr>
    <w:rPr>
      <w:rFonts w:ascii="Segoe UI" w:hAnsi="Segoe UI"/>
      <w:sz w:val="18"/>
    </w:rPr>
  </w:style>
  <w:style w:styleId="Style_12_ch" w:type="character">
    <w:name w:val="Balloon Text"/>
    <w:basedOn w:val="Style_5_ch"/>
    <w:link w:val="Style_12"/>
    <w:rPr>
      <w:rFonts w:ascii="Segoe UI" w:hAnsi="Segoe UI"/>
      <w:sz w:val="18"/>
    </w:rPr>
  </w:style>
  <w:style w:styleId="Style_1" w:type="paragraph">
    <w:name w:val="markedcontent"/>
    <w:basedOn w:val="Style_13"/>
    <w:link w:val="Style_1_ch"/>
  </w:style>
  <w:style w:styleId="Style_1_ch" w:type="character">
    <w:name w:val="markedcontent"/>
    <w:basedOn w:val="Style_13_ch"/>
    <w:link w:val="Style_1"/>
  </w:style>
  <w:style w:styleId="Style_2" w:type="paragraph">
    <w:name w:val="List Paragraph"/>
    <w:basedOn w:val="Style_5"/>
    <w:link w:val="Style_2_ch"/>
    <w:pPr>
      <w:ind w:firstLine="0" w:left="720"/>
      <w:contextualSpacing w:val="1"/>
    </w:pPr>
  </w:style>
  <w:style w:styleId="Style_2_ch" w:type="character">
    <w:name w:val="List Paragraph"/>
    <w:basedOn w:val="Style_5_ch"/>
    <w:link w:val="Style_2"/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annotation reference"/>
    <w:basedOn w:val="Style_13"/>
    <w:link w:val="Style_22_ch"/>
    <w:rPr>
      <w:sz w:val="16"/>
    </w:rPr>
  </w:style>
  <w:style w:styleId="Style_22_ch" w:type="character">
    <w:name w:val="annotation reference"/>
    <w:basedOn w:val="Style_13_ch"/>
    <w:link w:val="Style_22"/>
    <w:rPr>
      <w:sz w:val="16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annotation subject"/>
    <w:basedOn w:val="Style_10"/>
    <w:next w:val="Style_10"/>
    <w:link w:val="Style_26_ch"/>
    <w:rPr>
      <w:b w:val="1"/>
    </w:rPr>
  </w:style>
  <w:style w:styleId="Style_26_ch" w:type="character">
    <w:name w:val="annotation subject"/>
    <w:basedOn w:val="Style_10_ch"/>
    <w:link w:val="Style_26"/>
    <w:rPr>
      <w:b w:val="1"/>
    </w:rPr>
  </w:style>
  <w:style w:styleId="Style_27" w:type="paragraph">
    <w:name w:val="toc 10"/>
    <w:next w:val="Style_5"/>
    <w:link w:val="Style_27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7_ch" w:type="character">
    <w:name w:val="toc 10"/>
    <w:link w:val="Style_27"/>
    <w:rPr>
      <w:rFonts w:ascii="XO Thames" w:hAnsi="XO Thames"/>
      <w:sz w:val="28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2025-10-27T14:31:58Z</dcterms:modified>
</cp:coreProperties>
</file>