
<file path=[Content_Types].xml><?xml version="1.0" encoding="utf-8"?>
<Types xmlns="http://schemas.openxmlformats.org/package/2006/content-types">
  <Default Extension="rels" ContentType="application/vnd.openxmlformats-package.relationships+xml"/>
  <Default Extension="bmp" ContentType="image/bitmap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25ACE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64" w:after="0" w:beforeAutospacing="0" w:afterAutospacing="0"/>
        <w:ind w:hanging="144" w:left="-708"/>
        <w:jc w:val="both"/>
        <w:rPr>
          <w:rFonts w:ascii="Times New Roman" w:hAnsi="Times New Roman"/>
          <w:b w:val="1"/>
          <w:color w:val="000000"/>
          <w:sz w:val="28"/>
        </w:rPr>
      </w:pPr>
      <w:bookmarkStart w:id="0" w:name="block-18330663"/>
      <w:r>
        <w:drawing>
          <wp:inline xmlns:wp="http://schemas.openxmlformats.org/drawingml/2006/wordprocessingDrawing">
            <wp:extent cx="5821680" cy="80162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016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вариативные: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0"/>
      <w:bookmarkStart w:id="1" w:name="block-18330664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 модули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1 «Народная музыка России»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Край, в котором ты живёшь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Русский фольклор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Русские народные музыкальные инструменты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Сказки, мифы и легенды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Жанры музыкального фольклора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Народные праздники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Первые артисты, народный театр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Фольклор народов России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Фольклор в творчестве профессиональных музыкантов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Композитор – исполнитель – слушатель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Композиторы – детям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Оркестр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Фортепиано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Флейта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Скрипка, виолончель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Вокальная музыка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Инструментальная музыка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Программная музыка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Симфоническая музыка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Русские композиторы-классики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Европейские композиторы-классики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Мастерство исполнителя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3 «Музыка в жизни человека»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Красота и вдохновение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пейзажи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портреты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Какой же праздник без музыки?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Танцы, игры и веселье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на войне, музыка о войне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Главный музыкальный символ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Искусство времени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4 «Музыка народов мира»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Певец своего народа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Музыка стран ближнего зарубежья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стран дальнего зарубежья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Диалог культур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Звучание храма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Песни верующих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Инструментальная музыка в церкви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Искусство Русской православной церкви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Религиозные праздники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6 «Музыка театра и кино»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Музыкальная сказка на сцене, на экране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Театр оперы и балета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Балет. Хореография – искусство танца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Опера. Главные герои и номера оперного спектакля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Сюжет музыкального спектакля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Оперетта, мюзикл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Кто создаёт музыкальный спектакль?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Патриотическая и народная тема в театре и кино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7 «Современная музыкальная культура»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Современные обработки классической музыки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Джаз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Исполнители современной музыки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Электронные музыкальные инструменты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8 «Музыкальная грамота»</w:t>
      </w:r>
    </w:p>
    <w:p>
      <w:pPr>
        <w:spacing w:after="0" w:beforeAutospacing="0" w:afterAutospacing="0"/>
        <w:ind w:left="120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Весь мир звучит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Звукоряд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Интонация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Ритмический рисунок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Размер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Музыкальный язык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Высота звуков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Мелодия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Сопровождение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Песня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Лад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Пентатоника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Ноты в разных октавах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Дополнительные обозначения в нотах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Ритмические рисунки в размере 6/8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Тональность. Гамма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Интервалы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Гармония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Музыкальная форма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Вариации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1"/>
      <w:bookmarkStart w:id="2" w:name="block-18330665"/>
      <w:r>
        <w:rPr>
          <w:rFonts w:ascii="Times New Roman" w:hAnsi="Times New Roman"/>
          <w:color w:val="000000"/>
          <w:sz w:val="28"/>
        </w:rPr>
        <w:t xml:space="preserve">​ПЛАНИРУЕМЫЕ РЕЗУЛЬТАТЫ ОСВОЕНИЯ ПРОГРАММЫ ПО МУЗЫКЕ НА УРОВНЕ НАЧАЛЬНОГО ОБЩЕГО ОБРАЗОВАНИЯ 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2) в области духовно-нравственного воспитания: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3) в области эстетического воспитания: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4) в области научного познания: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6) в области трудового воспитания: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7) в области экологического воспитания: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after="0" w:beforeAutospacing="0" w:afterAutospacing="0"/>
        <w:ind w:left="120"/>
      </w:pPr>
      <w:bookmarkStart w:id="3" w:name="_Toc139972685"/>
      <w:bookmarkEnd w:id="3"/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1) невербальная коммуникация: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2) вербальная коммуникация: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3) совместная деятельность (сотрудничество):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after="0" w:beforeAutospacing="0" w:afterAutospacing="0"/>
        <w:ind w:left="120"/>
      </w:pPr>
      <w:bookmarkStart w:id="4" w:name="_Toc139972686"/>
      <w:bookmarkEnd w:id="4"/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bookmarkEnd w:id="2"/>
      <w:bookmarkStart w:id="5" w:name="block-18330666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trHeight w:hRule="atLeast" w:val="941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Количество часов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</w:tr>
    </w:tbl>
    <w:p>
      <w:pPr>
        <w:sectPr>
          <w:type w:val="nextPage"/>
          <w:pgSz w:w="11906" w:h="16383" w:code="0"/>
          <w:pgMar w:left="1134" w:right="1134" w:top="993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p>
      <w:pPr>
        <w:spacing w:after="0" w:beforeAutospacing="0" w:afterAutospacing="0"/>
        <w:ind w:left="120"/>
      </w:pP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559" w:type="dxa"/>
          <w:trHeight w:hRule="atLeast" w:val="309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66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668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Количество часов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>
      <w:pPr>
        <w:sectPr>
          <w:type w:val="nextPage"/>
          <w:pgSz w:w="11906" w:h="16383" w:code="0"/>
          <w:pgMar w:left="1134" w:right="1134" w:top="993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559" w:type="dxa"/>
          <w:trHeight w:hRule="atLeast" w:val="309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66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668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>
      <w:pPr>
        <w:sectPr>
          <w:type w:val="nextPage"/>
          <w:pgSz w:w="11906" w:h="16383" w:code="0"/>
          <w:pgMar w:left="1134" w:right="1134" w:top="993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W w:w="10082" w:type="dxa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335" w:type="dxa"/>
          <w:trHeight w:hRule="atLeast" w:val="309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768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768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6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>
      <w:pPr>
        <w:sectPr>
          <w:type w:val="nextPage"/>
          <w:pgSz w:w="11906" w:h="16383" w:code="0"/>
          <w:pgMar w:left="1134" w:right="1134" w:top="1701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bookmarkEnd w:id="5"/>
      <w:bookmarkStart w:id="6" w:name="block-18330667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418" w:type="dxa"/>
          <w:trHeight w:hRule="atLeast" w:val="309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653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653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</w:tbl>
    <w:p>
      <w:pPr>
        <w:sectPr>
          <w:type w:val="nextPage"/>
          <w:pgSz w:w="11906" w:h="16383" w:code="0"/>
          <w:pgMar w:left="1134" w:right="1134" w:top="1135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418" w:type="dxa"/>
          <w:trHeight w:hRule="atLeast" w:val="309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653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653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</w:tbl>
    <w:p>
      <w:pPr>
        <w:sectPr>
          <w:type w:val="nextPage"/>
          <w:pgSz w:w="11906" w:h="16383" w:code="0"/>
          <w:pgMar w:left="1134" w:right="1134" w:top="851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418" w:type="dxa"/>
          <w:trHeight w:hRule="atLeast" w:val="309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650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650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</w:tbl>
    <w:p>
      <w:pPr>
        <w:sectPr>
          <w:type w:val="nextPage"/>
          <w:pgSz w:w="11906" w:h="16383" w:code="0"/>
          <w:pgMar w:left="1134" w:right="1134" w:top="993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gridAfter w:val="1"/>
          <w:wAfter w:w="1666" w:type="dxa"/>
          <w:trHeight w:hRule="atLeast" w:val="309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707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707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</w:tr>
    </w:tbl>
    <w:p>
      <w:pPr>
        <w:sectPr>
          <w:type w:val="nextPage"/>
          <w:pgSz w:w="11906" w:h="16383" w:code="0"/>
          <w:pgMar w:left="1134" w:right="1134" w:top="709" w:bottom="850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  <w:rPr>
          <w:rFonts w:ascii="Times New Roman" w:hAnsi="Times New Roman"/>
          <w:b w:val="1"/>
          <w:color w:val="000000"/>
          <w:sz w:val="28"/>
        </w:rPr>
      </w:pPr>
      <w:bookmarkEnd w:id="6"/>
      <w:bookmarkStart w:id="7" w:name="block-18330668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after="0" w:beforeAutospacing="0" w:afterAutospacing="0"/>
        <w:ind w:left="120"/>
        <w:rPr>
          <w:rFonts w:ascii="Times New Roman" w:hAnsi="Times New Roman"/>
          <w:sz w:val="28"/>
        </w:rPr>
      </w:pPr>
    </w:p>
    <w:p>
      <w:pPr>
        <w:spacing w:lineRule="auto" w:line="480" w:after="0" w:beforeAutospacing="0" w:afterAutospacing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Учебно-методический комплект «Музыка 1-4 классы» авторов Е.Д.Критской, Г.П.Сергеевой, Т.С.Шмагиной: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«Методика работы с учебниками «Музыка 1-4 классы», методическое пособие для учителя М., Просвещение, 2015г.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«Хрестоматия музыкального материала к учебнику «Музыка. 2 класс», М., Просвещение, 2015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фонохрестоматия для 2 класса (2 диска)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Е.Д.Критская «Музыка 2 класс»1 СD, mp 3, Фонохрестоматия, М., Просвещение, 2015 г.</w:t>
      </w:r>
    </w:p>
    <w:p>
      <w:pPr>
        <w:spacing w:lineRule="auto" w:line="480" w:after="0" w:beforeAutospacing="0" w:afterAutospacing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учебник «Музыка 2 класс», М., Просвещение, 2015г.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«Рабочая тетрадь по музыке 2 класс» М., Просвещение, 2016г.</w:t>
      </w:r>
    </w:p>
    <w:p>
      <w:pPr>
        <w:shd w:val="clear" w:fill="FFFFFF"/>
        <w:spacing w:lineRule="auto" w:line="240" w:before="100" w:after="100" w:beforeAutospacing="1" w:afterAutospacing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ЦИФРОВЫЕ ОБРАЗОВАТЕЛЬНЫЕ РЕСУРСЫ И РЕСУРСЫ СЕТИ 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Учимся понимать музыку. Практический курс. Школа развития личности Кирилла и Мефодия. М.: ООО «Кирилл и Мефодий», 2011.(CD ROM)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Мультимедийная программа «Соната»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Лев Залесский и компания (ЗАО) «Три сестры» при издательской поддержке ЗАО «ИстраСофт» и содействии Национального Фонда подготовки кадров (НФПК)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Музыкальный класс. 000 «Нью Медиа Дженерейшн».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Мультимедийная программа «Шедевры музыки» издательства «Кирилл и Мефодий»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Мультимедийная программа «Энциклопедия классической музыки» «Коминфо»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Электронный образовательный ресурс (ЭОР) нового поколения (НП), издательство РГПУ им. А.И.Герцена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 Мультимедийная программа «Музыка. Ключи»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8.Мультимедийная программа "Музыка в цифровом пространстве"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 Мультимедийная программа «Энциклопедия Кирилла и Мефодия 2010г.»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10.Мультимедийная программа «История музыкальных инструментов»</w:t>
      </w:r>
    </w:p>
    <w:p>
      <w:pPr>
        <w:spacing w:lineRule="auto" w:line="480" w:after="0" w:beforeAutospacing="0" w:afterAutospacing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ИНТЕРНЕТ</w:t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11.Единая коллекция - 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"http://collection.cross-edu.ru/catalog/rubr/f544b3b7-f1f4-5b76-f453-552f31d9b164/" \t "_blank"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2C7BDE"/>
          <w:sz w:val="28"/>
          <w:u w:val="single"/>
        </w:rPr>
        <w:t>http://collection.cross-edu.ru/catalog/rubr/f544b3b7-f1f4-5b76-f453-552f31d9b164</w:t>
      </w:r>
      <w:r>
        <w:rPr>
          <w:rFonts w:ascii="Times New Roman" w:hAnsi="Times New Roman"/>
          <w:color w:val="2C7BDE"/>
          <w:sz w:val="28"/>
          <w:u w:val="single"/>
        </w:rPr>
        <w:fldChar w:fldCharType="end"/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12.Российский общеобразовательный портал - 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"http://music.edu.ru/" \t "_blank"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b w:val="1"/>
          <w:color w:val="2C7BDE"/>
          <w:sz w:val="28"/>
          <w:u w:val="single"/>
        </w:rPr>
        <w:t>http://music.edu.ru/</w:t>
      </w:r>
      <w:r>
        <w:rPr>
          <w:rFonts w:ascii="Times New Roman" w:hAnsi="Times New Roman"/>
          <w:b w:val="1"/>
          <w:color w:val="2C7BDE"/>
          <w:sz w:val="28"/>
          <w:u w:val="single"/>
        </w:rPr>
        <w:fldChar w:fldCharType="end"/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13.Детские электронные книги и презентации - 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"http://viki.rdf.ru/" \t "_blank"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b w:val="1"/>
          <w:color w:val="2C7BDE"/>
          <w:sz w:val="28"/>
          <w:u w:val="single"/>
        </w:rPr>
        <w:t>http://viki.rdf.ru/</w:t>
      </w:r>
      <w:r>
        <w:rPr>
          <w:rFonts w:ascii="Times New Roman" w:hAnsi="Times New Roman"/>
          <w:b w:val="1"/>
          <w:color w:val="2C7BDE"/>
          <w:sz w:val="28"/>
          <w:u w:val="single"/>
        </w:rPr>
        <w:fldChar w:fldCharType="end"/>
      </w:r>
    </w:p>
    <w:p>
      <w:pPr>
        <w:shd w:val="clear" w:fill="FFFFFF"/>
        <w:spacing w:lineRule="auto" w:line="240" w:before="100" w:after="100" w:beforeAutospacing="1" w:afterAutospacing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14.Уроки музыки с дирижером Скрипкиным. Серия «Развивашки». Мультимедийный диск (CD ROM) М.: ЗАО «Новый диск», 2008.</w:t>
      </w:r>
    </w:p>
    <w:p>
      <w:pPr>
        <w:spacing w:after="0" w:beforeAutospacing="0" w:afterAutospacing="0"/>
        <w:ind w:left="120"/>
        <w:rPr>
          <w:rFonts w:ascii="Times New Roman" w:hAnsi="Times New Roman"/>
          <w:sz w:val="28"/>
        </w:rPr>
      </w:pPr>
    </w:p>
    <w:p>
      <w:pPr>
        <w:spacing w:lineRule="auto" w:line="480" w:after="0" w:beforeAutospacing="0" w:afterAutospacing="0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7"/>
    </w:p>
    <w:sectPr>
      <w:type w:val="nextPage"/>
      <w:pgSz w:w="11907" w:h="16839" w:code="9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4"/>
    <w:qFormat/>
    <w:pPr>
      <w:keepNext w:val="1"/>
      <w:keepLines w:val="1"/>
      <w:spacing w:before="480" w:beforeAutospacing="0" w:afterAutospacing="0"/>
      <w:outlineLvl w:val="0"/>
    </w:pPr>
    <w:rPr>
      <w:b w:val="1"/>
      <w:color w:val="365F91"/>
      <w:sz w:val="28"/>
    </w:rPr>
  </w:style>
  <w:style w:type="paragraph" w:styleId="P2">
    <w:name w:val="heading 2"/>
    <w:basedOn w:val="P0"/>
    <w:next w:val="P0"/>
    <w:link w:val="C5"/>
    <w:qFormat/>
    <w:pPr>
      <w:keepNext w:val="1"/>
      <w:keepLines w:val="1"/>
      <w:spacing w:before="200" w:beforeAutospacing="0" w:afterAutospacing="0"/>
      <w:outlineLvl w:val="1"/>
    </w:pPr>
    <w:rPr>
      <w:b w:val="1"/>
      <w:color w:val="4F81BD"/>
      <w:sz w:val="26"/>
    </w:rPr>
  </w:style>
  <w:style w:type="paragraph" w:styleId="P3">
    <w:name w:val="heading 3"/>
    <w:basedOn w:val="P0"/>
    <w:next w:val="P0"/>
    <w:link w:val="C6"/>
    <w:qFormat/>
    <w:pPr>
      <w:keepNext w:val="1"/>
      <w:keepLines w:val="1"/>
      <w:spacing w:before="200" w:beforeAutospacing="0" w:afterAutospacing="0"/>
      <w:outlineLvl w:val="2"/>
    </w:pPr>
    <w:rPr>
      <w:b w:val="1"/>
      <w:color w:val="4F81BD"/>
    </w:rPr>
  </w:style>
  <w:style w:type="paragraph" w:styleId="P4">
    <w:name w:val="heading 4"/>
    <w:basedOn w:val="P0"/>
    <w:next w:val="P0"/>
    <w:link w:val="C7"/>
    <w:qFormat/>
    <w:pPr>
      <w:keepNext w:val="1"/>
      <w:keepLines w:val="1"/>
      <w:spacing w:before="200" w:beforeAutospacing="0" w:afterAutospacing="0"/>
      <w:outlineLvl w:val="3"/>
    </w:pPr>
    <w:rPr>
      <w:b w:val="1"/>
      <w:i w:val="1"/>
      <w:color w:val="4F81BD"/>
    </w:rPr>
  </w:style>
  <w:style w:type="paragraph" w:styleId="P5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6">
    <w:name w:val="Normal Indent"/>
    <w:basedOn w:val="P0"/>
    <w:pPr>
      <w:ind w:left="720"/>
    </w:pPr>
    <w:rPr/>
  </w:style>
  <w:style w:type="paragraph" w:styleId="P7">
    <w:name w:val="Subtitle"/>
    <w:basedOn w:val="P0"/>
    <w:next w:val="P0"/>
    <w:link w:val="C8"/>
    <w:qFormat/>
    <w:pPr>
      <w:ind w:left="86"/>
    </w:pPr>
    <w:rPr>
      <w:i w:val="1"/>
      <w:color w:val="4F81BD"/>
      <w:sz w:val="24"/>
    </w:rPr>
  </w:style>
  <w:style w:type="paragraph" w:styleId="P8">
    <w:name w:val="Title"/>
    <w:basedOn w:val="P0"/>
    <w:next w:val="P0"/>
    <w:link w:val="C9"/>
    <w:qFormat/>
    <w:pPr>
      <w:pBdr>
        <w:top w:val="none" w:sz="0" w:space="0" w:shadow="0" w:frame="0" w:color="auto"/>
        <w:left w:val="none" w:sz="0" w:space="0" w:shadow="0" w:frame="0" w:color="auto"/>
        <w:bottom w:val="single" w:sz="8" w:space="4" w:shadow="0" w:frame="0" w:color="4F81BD"/>
        <w:right w:val="none" w:sz="0" w:space="0" w:shadow="0" w:frame="0" w:color="auto"/>
      </w:pBdr>
      <w:spacing w:after="300" w:beforeAutospacing="0" w:afterAutospacing="0"/>
      <w:contextualSpacing w:val="1"/>
    </w:pPr>
    <w:rPr>
      <w:color w:val="17365D"/>
      <w:sz w:val="52"/>
    </w:rPr>
  </w:style>
  <w:style w:type="paragraph" w:styleId="P9">
    <w:name w:val="caption"/>
    <w:basedOn w:val="P0"/>
    <w:next w:val="P0"/>
    <w:semiHidden/>
    <w:qFormat/>
    <w:pPr>
      <w:spacing w:lineRule="auto" w:line="240" w:beforeAutospacing="0" w:afterAutospacing="0"/>
    </w:pPr>
    <w:rPr>
      <w:b w:val="1"/>
      <w:color w:val="4F81BD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Верхний колонтитул Знак"/>
    <w:basedOn w:val="C0"/>
    <w:link w:val="P5"/>
    <w:rPr/>
  </w:style>
  <w:style w:type="character" w:styleId="C4">
    <w:name w:val="Заголовок 1 Знак"/>
    <w:basedOn w:val="C0"/>
    <w:link w:val="P1"/>
    <w:rPr>
      <w:b w:val="1"/>
      <w:color w:val="365F91"/>
      <w:sz w:val="28"/>
    </w:rPr>
  </w:style>
  <w:style w:type="character" w:styleId="C5">
    <w:name w:val="Заголовок 2 Знак"/>
    <w:basedOn w:val="C0"/>
    <w:link w:val="P2"/>
    <w:rPr>
      <w:b w:val="1"/>
      <w:color w:val="4F81BD"/>
      <w:sz w:val="26"/>
    </w:rPr>
  </w:style>
  <w:style w:type="character" w:styleId="C6">
    <w:name w:val="Заголовок 3 Знак"/>
    <w:basedOn w:val="C0"/>
    <w:link w:val="P3"/>
    <w:rPr>
      <w:b w:val="1"/>
      <w:color w:val="4F81BD"/>
    </w:rPr>
  </w:style>
  <w:style w:type="character" w:styleId="C7">
    <w:name w:val="Заголовок 4 Знак"/>
    <w:basedOn w:val="C0"/>
    <w:link w:val="P4"/>
    <w:rPr>
      <w:b w:val="1"/>
      <w:i w:val="1"/>
      <w:color w:val="4F81BD"/>
    </w:rPr>
  </w:style>
  <w:style w:type="character" w:styleId="C8">
    <w:name w:val="Подзаголовок Знак"/>
    <w:basedOn w:val="C0"/>
    <w:link w:val="P7"/>
    <w:rPr>
      <w:i w:val="1"/>
      <w:color w:val="4F81BD"/>
      <w:sz w:val="24"/>
    </w:rPr>
  </w:style>
  <w:style w:type="character" w:styleId="C9">
    <w:name w:val="Название Знак"/>
    <w:basedOn w:val="C0"/>
    <w:link w:val="P8"/>
    <w:rPr>
      <w:color w:val="17365D"/>
      <w:sz w:val="52"/>
    </w:rPr>
  </w:style>
  <w:style w:type="character" w:styleId="C10">
    <w:name w:val="Emphasis"/>
    <w:basedOn w:val="C0"/>
    <w:qFormat/>
    <w:rPr>
      <w:i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bmp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