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</w:r>
      <w:r>
        <w:rPr>
          <w:rFonts w:ascii="Times New Roman" w:hAnsi="Times New Roman" w:cs="Times New Roman"/>
          <w:i/>
          <w:color w:val="ff0000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Проектная деятельность по робототехнике направлена на развитие у детей интереса к техническому творчеству и обучение их конструированию.</w:t>
      </w:r>
      <w:r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r>
    </w:p>
    <w:p>
      <w:r/>
      <w:r/>
    </w:p>
    <w:p>
      <w:r/>
      <w:r/>
    </w:p>
    <w:p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28850" cy="1512366"/>
                <wp:effectExtent l="0" t="0" r="0" b="0"/>
                <wp:docPr id="1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226737" cy="15109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5.50pt;height:119.08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jc w:val="center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959523" cy="2742539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0375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2959523" cy="2742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33.03pt;height:215.9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lang w:eastAsia="ru-RU"/>
        </w:rPr>
      </w:r>
      <w:r/>
      <w:r>
        <w:rPr>
          <w:lang w:eastAsia="ru-RU"/>
        </w:rPr>
      </w:r>
      <w:r>
        <w:rPr>
          <w:lang w:eastAsia="ru-RU"/>
        </w:rPr>
      </w:r>
    </w:p>
    <w:p>
      <w:pPr>
        <w:rPr>
          <w:color w:val="ff0000"/>
          <w:lang w:eastAsia="ru-RU"/>
        </w:rPr>
      </w:pPr>
      <w:r>
        <w:rPr>
          <w:color w:val="ff0000"/>
          <w:lang w:eastAsia="ru-RU"/>
        </w:rPr>
      </w:r>
      <w:r>
        <w:rPr>
          <w:color w:val="ff0000"/>
          <w:lang w:eastAsia="ru-RU"/>
        </w:rPr>
      </w:r>
    </w:p>
    <w:p>
      <w:pPr>
        <w:rPr>
          <w:color w:val="ff0000"/>
          <w:lang w:eastAsia="ru-RU"/>
        </w:rPr>
      </w:pPr>
      <w:r>
        <w:rPr>
          <w:color w:val="ff0000"/>
          <w:lang w:eastAsia="ru-RU"/>
        </w:rPr>
      </w:r>
      <w:r>
        <w:rPr>
          <w:color w:val="ff0000"/>
          <w:lang w:eastAsia="ru-RU"/>
        </w:rPr>
      </w:r>
    </w:p>
    <w:p>
      <w:pPr>
        <w:rPr>
          <w:color w:val="ff0000"/>
          <w:lang w:eastAsia="ru-RU"/>
        </w:rPr>
      </w:pPr>
      <w:r>
        <w:rPr>
          <w:color w:val="ff0000"/>
          <w:lang w:eastAsia="ru-RU"/>
        </w:rPr>
      </w:r>
      <w:r>
        <w:rPr>
          <w:color w:val="ff0000"/>
          <w:lang w:eastAsia="ru-RU"/>
        </w:rPr>
      </w:r>
    </w:p>
    <w:p>
      <w:pPr>
        <w:rPr>
          <w:color w:val="ff0000"/>
          <w:lang w:eastAsia="ru-RU"/>
        </w:rPr>
      </w:pPr>
      <w:r>
        <w:rPr>
          <w:color w:val="ff0000"/>
          <w:lang w:eastAsia="ru-RU"/>
        </w:rPr>
      </w:r>
      <w:r>
        <w:rPr>
          <w:color w:val="ff0000"/>
          <w:lang w:eastAsia="ru-RU"/>
        </w:rPr>
      </w:r>
    </w:p>
    <w:p>
      <w:pPr>
        <w:rPr>
          <w:color w:val="ff0000"/>
          <w:lang w:eastAsia="ru-RU"/>
        </w:rPr>
      </w:pPr>
      <w:r>
        <w:rPr>
          <w:color w:val="ff0000"/>
          <w:lang w:eastAsia="ru-RU"/>
        </w:rPr>
      </w:r>
      <w:r>
        <w:rPr>
          <w:color w:val="ff0000"/>
          <w:lang w:eastAsia="ru-RU"/>
        </w:rPr>
      </w:r>
    </w:p>
    <w:p>
      <w:pPr>
        <w:rPr>
          <w:color w:val="ff0000"/>
          <w:lang w:eastAsia="ru-RU"/>
        </w:rPr>
      </w:pPr>
      <w:r>
        <w:rPr>
          <w:color w:val="ff0000"/>
          <w:lang w:eastAsia="ru-RU"/>
        </w:rPr>
      </w:r>
      <w:r>
        <w:rPr>
          <w:color w:val="ff0000"/>
          <w:lang w:eastAsia="ru-RU"/>
        </w:rPr>
      </w:r>
    </w:p>
    <w:p>
      <w:pPr>
        <w:pStyle w:val="623"/>
        <w:jc w:val="center"/>
        <w:rPr>
          <w:b/>
          <w:bCs/>
          <w:i/>
          <w:color w:val="ff0000"/>
        </w:rPr>
      </w:pPr>
      <w:r>
        <w:rPr>
          <w:b/>
          <w:bCs/>
          <w:i/>
          <w:color w:val="ff0000"/>
          <w:highlight w:val="none"/>
        </w:rPr>
      </w:r>
      <w:r>
        <w:rPr>
          <w:b/>
          <w:bCs/>
          <w:i/>
          <w:color w:val="ff0000"/>
          <w:highlight w:val="none"/>
        </w:rPr>
      </w:r>
    </w:p>
    <w:p>
      <w:pPr>
        <w:pStyle w:val="623"/>
        <w:jc w:val="center"/>
        <w:rPr>
          <w:b/>
          <w:bCs/>
          <w:i/>
          <w:color w:val="ff0000"/>
          <w:highlight w:val="none"/>
        </w:rPr>
      </w:pPr>
      <w:r>
        <w:rPr>
          <w:b/>
          <w:bCs/>
          <w:i/>
          <w:color w:val="ff0000"/>
          <w:highlight w:val="none"/>
        </w:rPr>
      </w:r>
      <w:r>
        <w:rPr>
          <w:b/>
          <w:bCs/>
          <w:i/>
          <w:color w:val="ff0000"/>
          <w:highlight w:val="none"/>
        </w:rPr>
      </w:r>
    </w:p>
    <w:p>
      <w:pPr>
        <w:pStyle w:val="623"/>
        <w:jc w:val="center"/>
        <w:rPr>
          <w:b/>
          <w:bCs/>
          <w:i/>
          <w:color w:val="ff0000"/>
          <w:highlight w:val="none"/>
        </w:rPr>
      </w:pPr>
      <w:r>
        <w:rPr>
          <w:b/>
          <w:bCs/>
          <w:i/>
          <w:color w:val="ff0000"/>
          <w:highlight w:val="none"/>
        </w:rPr>
      </w:r>
      <w:r>
        <w:rPr>
          <w:b/>
          <w:bCs/>
          <w:i/>
          <w:color w:val="ff0000"/>
          <w:highlight w:val="none"/>
        </w:rPr>
      </w:r>
    </w:p>
    <w:p>
      <w:pPr>
        <w:pStyle w:val="623"/>
        <w:jc w:val="center"/>
        <w:rPr>
          <w:b/>
          <w:bCs/>
          <w:i/>
          <w:color w:val="ff0000"/>
          <w:highlight w:val="none"/>
        </w:rPr>
      </w:pPr>
      <w:r>
        <w:rPr>
          <w:b/>
          <w:bCs/>
          <w:i/>
          <w:color w:val="ff0000"/>
          <w:highlight w:val="none"/>
        </w:rPr>
      </w:r>
      <w:r>
        <w:rPr>
          <w:b/>
          <w:bCs/>
          <w:i/>
          <w:color w:val="ff0000"/>
          <w:highlight w:val="none"/>
        </w:rPr>
      </w:r>
    </w:p>
    <w:p>
      <w:pPr>
        <w:pStyle w:val="623"/>
        <w:jc w:val="center"/>
        <w:rPr>
          <w:b/>
          <w:bCs/>
          <w:i/>
          <w:color w:val="ff0000"/>
          <w:highlight w:val="none"/>
        </w:rPr>
      </w:pPr>
      <w:r>
        <w:rPr>
          <w:b/>
          <w:bCs/>
          <w:i/>
          <w:color w:val="ff0000"/>
          <w:highlight w:val="none"/>
        </w:rPr>
      </w:r>
      <w:r>
        <w:rPr>
          <w:b/>
          <w:bCs/>
          <w:i/>
          <w:color w:val="ff0000"/>
          <w:highlight w:val="none"/>
        </w:rPr>
      </w:r>
    </w:p>
    <w:p>
      <w:pPr>
        <w:pStyle w:val="623"/>
        <w:jc w:val="center"/>
        <w:rPr>
          <w:b/>
          <w:bCs/>
          <w:i/>
          <w:color w:val="0070c0"/>
          <w:sz w:val="24"/>
          <w:szCs w:val="24"/>
          <w:highlight w:val="none"/>
        </w:rPr>
      </w:pPr>
      <w:r>
        <w:rPr>
          <w:b/>
          <w:bCs/>
          <w:i/>
          <w:color w:val="0070c0"/>
          <w:sz w:val="24"/>
          <w:szCs w:val="24"/>
        </w:rPr>
        <w:t xml:space="preserve">Муниципальное бюджетное дошкольное образовательное учреждение «Центр развития ребенка-</w:t>
      </w:r>
      <w:r>
        <w:rPr>
          <w:b/>
          <w:bCs/>
          <w:i/>
          <w:color w:val="0070c0"/>
          <w:sz w:val="24"/>
          <w:szCs w:val="24"/>
          <w:highlight w:val="none"/>
        </w:rPr>
      </w:r>
    </w:p>
    <w:p>
      <w:pPr>
        <w:pStyle w:val="623"/>
        <w:jc w:val="center"/>
        <w:rPr>
          <w:b/>
          <w:bCs/>
          <w:i/>
          <w:color w:val="0070c0"/>
        </w:rPr>
      </w:pPr>
      <w:r>
        <w:rPr>
          <w:b/>
          <w:bCs/>
          <w:i/>
          <w:color w:val="0070c0"/>
          <w:sz w:val="24"/>
          <w:szCs w:val="24"/>
        </w:rPr>
        <w:t xml:space="preserve">детский сад №121 «Сабантуй</w:t>
      </w:r>
      <w:r>
        <w:rPr>
          <w:b/>
          <w:bCs/>
          <w:i/>
          <w:color w:val="0070c0"/>
          <w:sz w:val="24"/>
          <w:szCs w:val="24"/>
        </w:rPr>
        <w:t xml:space="preserve">»</w:t>
      </w:r>
      <w:r>
        <w:rPr>
          <w:b/>
          <w:bCs/>
          <w:i/>
          <w:color w:val="0070c0"/>
        </w:rPr>
      </w:r>
    </w:p>
    <w:p>
      <w:pPr>
        <w:pStyle w:val="623"/>
        <w:jc w:val="center"/>
        <w:rPr>
          <w:i/>
          <w:color w:val="ff0000"/>
        </w:rPr>
      </w:pPr>
      <w:r>
        <w:rPr>
          <w:i/>
          <w:color w:val="ff0000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59100" cy="1873885"/>
                <wp:effectExtent l="171450" t="171450" r="374650" b="35496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вапр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959100" cy="18738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33.00pt;height:147.5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="240" w:lineRule="auto"/>
        <w:rPr>
          <w:rFonts w:ascii="Arial Black" w:hAnsi="Arial Black" w:cs="Times New Roman"/>
          <w:b/>
          <w:i/>
          <w:color w:val="00b050"/>
          <w:sz w:val="32"/>
          <w:szCs w:val="32"/>
        </w:rPr>
      </w:pPr>
      <w:r>
        <w:rPr>
          <w:rFonts w:ascii="Arial Black" w:hAnsi="Arial Black" w:cs="Times New Roman"/>
          <w:b/>
          <w:i/>
          <w:color w:val="00b050"/>
          <w:sz w:val="32"/>
          <w:szCs w:val="32"/>
        </w:rPr>
        <w:t xml:space="preserve">Р</w:t>
      </w:r>
      <w:r>
        <w:rPr>
          <w:rFonts w:ascii="Arial Black" w:hAnsi="Arial Black" w:cs="Times New Roman"/>
          <w:b/>
          <w:i/>
          <w:color w:val="8db3e2" w:themeColor="text2" w:themeTint="66"/>
          <w:sz w:val="32"/>
          <w:szCs w:val="32"/>
        </w:rPr>
        <w:t xml:space="preserve">О</w:t>
      </w:r>
      <w:r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Б</w:t>
      </w:r>
      <w:r>
        <w:rPr>
          <w:rFonts w:ascii="Arial Black" w:hAnsi="Arial Black" w:cs="Times New Roman"/>
          <w:b/>
          <w:i/>
          <w:color w:val="ffc000"/>
          <w:sz w:val="32"/>
          <w:szCs w:val="32"/>
        </w:rPr>
        <w:t xml:space="preserve">О</w:t>
      </w:r>
      <w:r>
        <w:rPr>
          <w:rFonts w:ascii="Arial Black" w:hAnsi="Arial Black" w:cs="Times New Roman"/>
          <w:b/>
          <w:i/>
          <w:color w:val="0070c0"/>
          <w:sz w:val="32"/>
          <w:szCs w:val="32"/>
        </w:rPr>
        <w:t xml:space="preserve">Т</w:t>
      </w:r>
      <w:r>
        <w:rPr>
          <w:rFonts w:ascii="Arial Black" w:hAnsi="Arial Black" w:cs="Times New Roman"/>
          <w:b/>
          <w:i/>
          <w:color w:val="e16a0a" w:themeColor="accent6" w:themeShade="BF"/>
          <w:sz w:val="32"/>
          <w:szCs w:val="32"/>
        </w:rPr>
        <w:t xml:space="preserve">О</w:t>
      </w:r>
      <w:r>
        <w:rPr>
          <w:rFonts w:ascii="Arial Black" w:hAnsi="Arial Black" w:cs="Times New Roman"/>
          <w:b/>
          <w:i/>
          <w:color w:val="002060"/>
          <w:sz w:val="32"/>
          <w:szCs w:val="32"/>
        </w:rPr>
        <w:t xml:space="preserve">Т</w:t>
      </w:r>
      <w:r>
        <w:rPr>
          <w:rFonts w:ascii="Arial Black" w:hAnsi="Arial Black" w:cs="Times New Roman"/>
          <w:b/>
          <w:i/>
          <w:color w:val="c00000"/>
          <w:sz w:val="32"/>
          <w:szCs w:val="32"/>
        </w:rPr>
        <w:t xml:space="preserve">Е</w:t>
      </w:r>
      <w:r>
        <w:rPr>
          <w:rFonts w:ascii="Arial Black" w:hAnsi="Arial Black" w:cs="Times New Roman"/>
          <w:b/>
          <w:i/>
          <w:color w:val="bfbfbf" w:themeColor="background1" w:themeShade="BF"/>
          <w:sz w:val="32"/>
          <w:szCs w:val="32"/>
        </w:rPr>
        <w:t xml:space="preserve">Х</w:t>
      </w:r>
      <w:r>
        <w:rPr>
          <w:rFonts w:ascii="Arial Black" w:hAnsi="Arial Black" w:cs="Times New Roman"/>
          <w:b/>
          <w:i/>
          <w:color w:val="5f497a" w:themeColor="accent4" w:themeShade="BF"/>
          <w:sz w:val="32"/>
          <w:szCs w:val="32"/>
        </w:rPr>
        <w:t xml:space="preserve">Н</w:t>
      </w:r>
      <w:r>
        <w:rPr>
          <w:rFonts w:ascii="Arial Black" w:hAnsi="Arial Black" w:cs="Times New Roman"/>
          <w:b/>
          <w:i/>
          <w:color w:val="31859a" w:themeColor="accent5" w:themeShade="BF"/>
          <w:sz w:val="32"/>
          <w:szCs w:val="32"/>
        </w:rPr>
        <w:t xml:space="preserve">И</w:t>
      </w:r>
      <w:r>
        <w:rPr>
          <w:rFonts w:ascii="Arial Black" w:hAnsi="Arial Black" w:cs="Times New Roman"/>
          <w:b/>
          <w:i/>
          <w:color w:val="00b050"/>
          <w:sz w:val="32"/>
          <w:szCs w:val="32"/>
        </w:rPr>
        <w:t xml:space="preserve">К</w:t>
      </w:r>
      <w:r>
        <w:rPr>
          <w:rFonts w:ascii="Arial Black" w:hAnsi="Arial Black" w:cs="Times New Roman"/>
          <w:b/>
          <w:i/>
          <w:color w:val="8064a2" w:themeColor="accent4"/>
          <w:sz w:val="32"/>
          <w:szCs w:val="32"/>
        </w:rPr>
        <w:t xml:space="preserve">А</w:t>
      </w:r>
      <w:r>
        <w:rPr>
          <w:rFonts w:ascii="Arial Black" w:hAnsi="Arial Black" w:cs="Times New Roman"/>
          <w:b/>
          <w:i/>
          <w:color w:val="00b050"/>
          <w:sz w:val="32"/>
          <w:szCs w:val="32"/>
        </w:rPr>
        <w:t xml:space="preserve"> </w:t>
      </w:r>
      <w:r>
        <w:rPr>
          <w:rFonts w:ascii="Arial Black" w:hAnsi="Arial Black" w:cs="Times New Roman"/>
          <w:b/>
          <w:i/>
          <w:color w:val="00b050"/>
          <w:sz w:val="32"/>
          <w:szCs w:val="32"/>
        </w:rPr>
      </w:r>
    </w:p>
    <w:p>
      <w:pPr>
        <w:jc w:val="center"/>
        <w:spacing w:line="240" w:lineRule="auto"/>
        <w:rPr>
          <w:rFonts w:ascii="Arial Black" w:hAnsi="Arial Black" w:cs="Times New Roman"/>
          <w:b/>
          <w:i/>
          <w:color w:val="ff0000"/>
          <w:sz w:val="32"/>
          <w:szCs w:val="32"/>
        </w:rPr>
      </w:pPr>
      <w:r>
        <w:rPr>
          <w:rFonts w:ascii="Arial Black" w:hAnsi="Arial Black" w:cs="Times New Roman"/>
          <w:b/>
          <w:i/>
          <w:color w:val="7030a0"/>
          <w:sz w:val="32"/>
          <w:szCs w:val="32"/>
        </w:rPr>
        <w:t xml:space="preserve">В</w:t>
      </w:r>
      <w:r>
        <w:rPr>
          <w:rFonts w:ascii="Arial Black" w:hAnsi="Arial Black" w:cs="Times New Roman"/>
          <w:b/>
          <w:i/>
          <w:color w:val="00b050"/>
          <w:sz w:val="32"/>
          <w:szCs w:val="32"/>
        </w:rPr>
        <w:t xml:space="preserve"> Д</w:t>
      </w:r>
      <w:r>
        <w:rPr>
          <w:rFonts w:ascii="Arial Black" w:hAnsi="Arial Black" w:cs="Times New Roman"/>
          <w:b/>
          <w:i/>
          <w:color w:val="933634" w:themeColor="accent2" w:themeShade="BF"/>
          <w:sz w:val="32"/>
          <w:szCs w:val="32"/>
        </w:rPr>
        <w:t xml:space="preserve">Е</w:t>
      </w:r>
      <w:r>
        <w:rPr>
          <w:rFonts w:ascii="Arial Black" w:hAnsi="Arial Black" w:cs="Times New Roman"/>
          <w:b/>
          <w:i/>
          <w:color w:val="93cedc" w:themeColor="accent5" w:themeTint="99"/>
          <w:sz w:val="32"/>
          <w:szCs w:val="32"/>
        </w:rPr>
        <w:t xml:space="preserve">Т</w:t>
      </w:r>
      <w:r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С</w:t>
      </w:r>
      <w:r>
        <w:rPr>
          <w:rFonts w:ascii="Arial Black" w:hAnsi="Arial Black" w:cs="Times New Roman"/>
          <w:b/>
          <w:i/>
          <w:color w:val="00b050"/>
          <w:sz w:val="32"/>
          <w:szCs w:val="32"/>
        </w:rPr>
        <w:t xml:space="preserve">К</w:t>
      </w:r>
      <w:r>
        <w:rPr>
          <w:rFonts w:ascii="Arial Black" w:hAnsi="Arial Black" w:cs="Times New Roman"/>
          <w:b/>
          <w:i/>
          <w:color w:val="ffc000"/>
          <w:sz w:val="32"/>
          <w:szCs w:val="32"/>
        </w:rPr>
        <w:t xml:space="preserve">О</w:t>
      </w:r>
      <w:r>
        <w:rPr>
          <w:rFonts w:ascii="Arial Black" w:hAnsi="Arial Black" w:cs="Times New Roman"/>
          <w:b/>
          <w:i/>
          <w:color w:val="7030a0"/>
          <w:sz w:val="32"/>
          <w:szCs w:val="32"/>
        </w:rPr>
        <w:t xml:space="preserve">М</w:t>
      </w:r>
      <w:r>
        <w:rPr>
          <w:rFonts w:ascii="Arial Black" w:hAnsi="Arial Black" w:cs="Times New Roman"/>
          <w:b/>
          <w:i/>
          <w:color w:val="00b050"/>
          <w:sz w:val="32"/>
          <w:szCs w:val="32"/>
        </w:rPr>
        <w:t xml:space="preserve"> С</w:t>
      </w:r>
      <w:r>
        <w:rPr>
          <w:rFonts w:ascii="Arial Black" w:hAnsi="Arial Black" w:cs="Times New Roman"/>
          <w:b/>
          <w:i/>
          <w:color w:val="ff0000"/>
          <w:sz w:val="32"/>
          <w:szCs w:val="32"/>
        </w:rPr>
        <w:t xml:space="preserve">А</w:t>
      </w:r>
      <w:r>
        <w:rPr>
          <w:rFonts w:ascii="Arial Black" w:hAnsi="Arial Black" w:cs="Times New Roman"/>
          <w:b/>
          <w:i/>
          <w:color w:val="00b0f0"/>
          <w:sz w:val="32"/>
          <w:szCs w:val="32"/>
        </w:rPr>
        <w:t xml:space="preserve">Д</w:t>
      </w:r>
      <w:r>
        <w:rPr>
          <w:rFonts w:ascii="Arial Black" w:hAnsi="Arial Black" w:cs="Times New Roman"/>
          <w:b/>
          <w:i/>
          <w:color w:val="c00000"/>
          <w:sz w:val="32"/>
          <w:szCs w:val="32"/>
        </w:rPr>
        <w:t xml:space="preserve">У</w:t>
      </w:r>
      <w:r>
        <w:rPr>
          <w:rFonts w:ascii="Arial Black" w:hAnsi="Arial Black" w:cs="Times New Roman"/>
          <w:b/>
          <w:i/>
          <w:color w:val="ff0000"/>
          <w:sz w:val="32"/>
          <w:szCs w:val="32"/>
        </w:rPr>
      </w:r>
    </w:p>
    <w:p>
      <w:r/>
      <w:r/>
    </w:p>
    <w:p>
      <w:pPr>
        <w:jc w:val="right"/>
        <w:rPr>
          <w:bCs/>
          <w:i/>
          <w:color w:val="ff0000"/>
        </w:rPr>
      </w:pPr>
      <w:r>
        <w:rPr>
          <w:i/>
          <w:color w:val="ff0000"/>
        </w:rPr>
      </w:r>
      <w:r>
        <w:rPr>
          <w:i/>
          <w:color w:val="ff0000"/>
        </w:rPr>
      </w:r>
    </w:p>
    <w:p>
      <w:pPr>
        <w:jc w:val="right"/>
        <w:rPr>
          <w:bCs/>
          <w:i/>
          <w:color w:val="ff0000"/>
        </w:rPr>
      </w:pPr>
      <w:r>
        <w:rPr>
          <w:i/>
          <w:color w:val="ff0000"/>
        </w:rPr>
      </w:r>
      <w:r>
        <w:rPr>
          <w:bCs/>
          <w:i/>
          <w:color w:val="ff0000"/>
        </w:rPr>
      </w:r>
    </w:p>
    <w:p>
      <w:pPr>
        <w:jc w:val="center"/>
        <w:rPr>
          <w:i/>
          <w:color w:val="ff0000"/>
        </w:rPr>
      </w:pPr>
      <w:r>
        <w:rPr>
          <w:i/>
          <w:color w:val="ff0000"/>
        </w:rPr>
      </w:r>
      <w:r>
        <w:rPr>
          <w:i/>
          <w:color w:val="ff0000"/>
        </w:rPr>
      </w:r>
    </w:p>
    <w:p>
      <w:pPr>
        <w:jc w:val="center"/>
        <w:rPr>
          <w:i/>
          <w:color w:val="ff0000"/>
        </w:rPr>
      </w:pPr>
      <w:r>
        <w:rPr>
          <w:i/>
          <w:color w:val="0070c0"/>
        </w:rPr>
        <w:t xml:space="preserve">г</w:t>
      </w:r>
      <w:r>
        <w:rPr>
          <w:i/>
          <w:color w:val="0070c0"/>
        </w:rPr>
        <w:t xml:space="preserve">. Набережные Челны</w:t>
      </w:r>
      <w:r>
        <w:rPr>
          <w:i/>
          <w:color w:val="0070c0"/>
        </w:rPr>
      </w:r>
      <w:r>
        <w:rPr>
          <w:i/>
          <w:color w:val="ff0000"/>
        </w:rPr>
      </w:r>
    </w:p>
    <w:p>
      <w:pPr>
        <w:pStyle w:val="623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</w:r>
      <w:r>
        <w:rPr>
          <w:rFonts w:ascii="Times New Roman" w:hAnsi="Times New Roman" w:cs="Times New Roman"/>
          <w:i/>
          <w:color w:val="ff000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Цель: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развитие технического творчества у детей старшего дошкольного возраста средствами робототехники.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Целевые ориентиры: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Умение планировать виды деятельности;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Владеть основными понятиями образовательной робототехники;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Владеть материальными знаниями: название деталей, моделей роботов;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Узнать о роботах в России и мире;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Иметь представление о методических основах проектной деятельности.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Задачи: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- формирование первичных представлений о робототехнике;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- развитие продуктивной  (конструирование) деятельности;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- формирование навыков сотрудничества: работа в коллективе, в команде, малой группе.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r>
    </w:p>
    <w:p>
      <w:pPr>
        <w:pStyle w:val="623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Обучение основывается на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следующих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r>
    </w:p>
    <w:p>
      <w:pPr>
        <w:pStyle w:val="623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педагогических 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принципах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: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«от простого к сложному»;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Систематичности, последовательности, повторяемости и наглядности обучения;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Личностно ориентированного подхода;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Природосообразности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rPr>
          <w:color w:val="002060"/>
        </w:rPr>
      </w:pPr>
      <w:r>
        <w:rPr>
          <w:color w:val="002060"/>
        </w:rPr>
      </w:r>
      <w:r>
        <w:rPr>
          <w:color w:val="002060"/>
        </w:rPr>
      </w:r>
    </w:p>
    <w:p>
      <w:pPr>
        <w:rPr>
          <w:color w:val="002060"/>
        </w:rPr>
      </w:pPr>
      <w:r>
        <w:rPr>
          <w:color w:val="002060"/>
        </w:rPr>
      </w:r>
      <w:r>
        <w:rPr>
          <w:color w:val="002060"/>
        </w:rPr>
      </w:r>
    </w:p>
    <w:p>
      <w:pPr>
        <w:rPr>
          <w:color w:val="002060"/>
        </w:rPr>
      </w:pPr>
      <w:r>
        <w:rPr>
          <w:color w:val="002060"/>
        </w:rPr>
      </w:r>
      <w:r>
        <w:rPr>
          <w:color w:val="002060"/>
        </w:rPr>
      </w:r>
    </w:p>
    <w:p>
      <w:pPr>
        <w:rPr>
          <w:color w:val="002060"/>
        </w:rPr>
      </w:pPr>
      <w:r>
        <w:rPr>
          <w:color w:val="002060"/>
        </w:rPr>
      </w:r>
      <w:r>
        <w:rPr>
          <w:color w:val="002060"/>
        </w:rPr>
      </w:r>
    </w:p>
    <w:p>
      <w:pPr>
        <w:jc w:val="center"/>
        <w:spacing w:line="240" w:lineRule="auto"/>
        <w:rPr>
          <w:rFonts w:ascii="Arial Black" w:hAnsi="Arial Black"/>
          <w:b/>
          <w:color w:val="0070c0"/>
          <w:sz w:val="24"/>
          <w:szCs w:val="24"/>
        </w:rPr>
      </w:pPr>
      <w:r>
        <w:rPr>
          <w:rFonts w:ascii="Arial Black" w:hAnsi="Arial Black"/>
          <w:b/>
          <w:color w:val="0070c0"/>
          <w:sz w:val="24"/>
          <w:szCs w:val="24"/>
        </w:rPr>
        <w:t xml:space="preserve">ПЛЮСЫ </w:t>
      </w:r>
      <w:r>
        <w:rPr>
          <w:rFonts w:ascii="Arial Black" w:hAnsi="Arial Black"/>
          <w:b/>
          <w:color w:val="0070c0"/>
          <w:sz w:val="24"/>
          <w:szCs w:val="24"/>
          <w:lang w:val="en-US"/>
        </w:rPr>
        <w:t xml:space="preserve">LEGO</w:t>
      </w:r>
      <w:r>
        <w:rPr>
          <w:rFonts w:ascii="Arial Black" w:hAnsi="Arial Black"/>
          <w:b/>
          <w:color w:val="0070c0"/>
          <w:sz w:val="24"/>
          <w:szCs w:val="24"/>
        </w:rPr>
        <w:t xml:space="preserve"> КОНСТРУИРОВАНИЯ</w:t>
      </w:r>
      <w:r>
        <w:rPr>
          <w:rFonts w:ascii="Arial Black" w:hAnsi="Arial Black"/>
          <w:b/>
          <w:color w:val="0070c0"/>
          <w:sz w:val="24"/>
          <w:szCs w:val="24"/>
        </w:rPr>
      </w:r>
    </w:p>
    <w:p>
      <w:pPr>
        <w:jc w:val="center"/>
        <w:spacing w:line="240" w:lineRule="auto"/>
        <w:rPr>
          <w:rFonts w:ascii="Arial Black" w:hAnsi="Arial Black"/>
          <w:b/>
          <w:color w:val="0070c0"/>
          <w:sz w:val="24"/>
          <w:szCs w:val="24"/>
        </w:rPr>
      </w:pPr>
      <w:r>
        <w:rPr>
          <w:rFonts w:ascii="Arial Black" w:hAnsi="Arial Black"/>
          <w:b/>
          <w:color w:val="0070c0"/>
          <w:sz w:val="24"/>
          <w:szCs w:val="24"/>
        </w:rPr>
        <w:t xml:space="preserve">В ДЕТСКОМ САДУ</w:t>
      </w:r>
      <w:r>
        <w:rPr>
          <w:rFonts w:ascii="Arial Black" w:hAnsi="Arial Black"/>
          <w:b/>
          <w:color w:val="0070c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Развитие логики и комбинаторики.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Совершенствование навыков классификации.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Развитие сенсорных и математических навыков.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Активизация памяти и внимания.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Развитие речи и коммуникативных способностей.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pStyle w:val="623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Развитие мелкой моторики.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jc w:val="center"/>
        <w:rPr>
          <w:color w:val="002060"/>
        </w:rPr>
      </w:pPr>
      <w:r>
        <w:rPr>
          <w:color w:val="002060"/>
          <w:lang w:eastAsia="ru-RU"/>
        </w:rPr>
      </w:r>
      <w:r>
        <w:rPr>
          <w:color w:val="00206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59523" cy="1976444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89052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2959523" cy="1976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33.03pt;height:155.63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color w:val="002060"/>
          <w:lang w:eastAsia="ru-RU"/>
        </w:rPr>
      </w:r>
      <w:r>
        <w:rPr>
          <w:color w:val="002060"/>
        </w:rPr>
      </w:r>
    </w:p>
    <w:p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Использование конструкторов LEGO в дополнении к занятиям и  сюжетно-ролевым играм: «Стройка», «Ферма», «Городские жители» и многое другое. 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Есть интересные технические конструкторы шестеренки:  «Простые механизмы», конструкторы для обучения счету и подготовки к школе «Математический поезд», «Математика». Все наборы содержат не только детали, но и методические рекомендации.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</w:r>
    </w:p>
    <w:p>
      <w:pPr>
        <w:jc w:val="center"/>
        <w:rPr>
          <w:rFonts w:ascii="Arial Black" w:hAnsi="Arial Black"/>
          <w:color w:val="002060"/>
        </w:rPr>
      </w:pPr>
      <w:r>
        <w:rPr>
          <w:rFonts w:ascii="Arial Black" w:hAnsi="Arial Black"/>
          <w:color w:val="002060"/>
        </w:rPr>
        <w:t xml:space="preserve">Программа «Робототехника в детском саду» основана на программе:</w:t>
      </w:r>
      <w:r>
        <w:rPr>
          <w:rFonts w:ascii="Arial Black" w:hAnsi="Arial Black"/>
          <w:color w:val="002060"/>
        </w:rPr>
      </w:r>
    </w:p>
    <w:p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Комаровой Л.Г. «Строим из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Лего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»</w:t>
      </w:r>
      <w:r>
        <w:rPr>
          <w:rFonts w:ascii="Times New Roman" w:hAnsi="Times New Roman" w:cs="Times New Roman"/>
          <w:color w:val="002060"/>
          <w:sz w:val="24"/>
          <w:szCs w:val="24"/>
        </w:rPr>
      </w:r>
    </w:p>
    <w:p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Ишмаковой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И.С. «Конструирование в дошкольном образовании в условиях введения ФГОС»</w:t>
      </w:r>
      <w:r>
        <w:rPr>
          <w:rFonts w:ascii="Times New Roman" w:hAnsi="Times New Roman" w:cs="Times New Roman"/>
          <w:color w:val="002060"/>
          <w:sz w:val="24"/>
          <w:szCs w:val="24"/>
        </w:rPr>
      </w:r>
    </w:p>
    <w:p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Средствам обучения являются инновационные конструкторы:</w:t>
      </w:r>
      <w:r>
        <w:rPr>
          <w:rFonts w:ascii="Times New Roman" w:hAnsi="Times New Roman" w:cs="Times New Roman"/>
          <w:color w:val="002060"/>
          <w:sz w:val="24"/>
          <w:szCs w:val="24"/>
        </w:rPr>
      </w:r>
    </w:p>
    <w:p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 xml:space="preserve">- HUNA – MRT;</w:t>
      </w:r>
      <w:r>
        <w:rPr>
          <w:rFonts w:ascii="Times New Roman" w:hAnsi="Times New Roman" w:cs="Times New Roman"/>
          <w:color w:val="002060"/>
          <w:sz w:val="24"/>
          <w:szCs w:val="24"/>
        </w:rPr>
      </w:r>
    </w:p>
    <w:p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 xml:space="preserve"> -  LEGO – WEDO;</w:t>
      </w:r>
      <w:r>
        <w:rPr>
          <w:rFonts w:ascii="Times New Roman" w:hAnsi="Times New Roman" w:cs="Times New Roman"/>
          <w:color w:val="002060"/>
          <w:sz w:val="24"/>
          <w:szCs w:val="24"/>
        </w:rPr>
      </w:r>
    </w:p>
    <w:p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 xml:space="preserve"> - LEGO DUPLO;</w:t>
      </w:r>
      <w:r>
        <w:rPr>
          <w:rFonts w:ascii="Times New Roman" w:hAnsi="Times New Roman" w:cs="Times New Roman"/>
          <w:color w:val="002060"/>
          <w:sz w:val="24"/>
          <w:szCs w:val="24"/>
        </w:rPr>
      </w:r>
    </w:p>
    <w:p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- ELECTRONIC – первые шаги в электронике;</w:t>
      </w:r>
      <w:r>
        <w:rPr>
          <w:rFonts w:ascii="Times New Roman" w:hAnsi="Times New Roman" w:cs="Times New Roman"/>
          <w:color w:val="002060"/>
          <w:sz w:val="24"/>
          <w:szCs w:val="24"/>
        </w:rPr>
      </w:r>
    </w:p>
    <w:p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959523" cy="181492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59406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flipH="0" flipV="0">
                          <a:off x="0" y="0"/>
                          <a:ext cx="2959523" cy="1814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233.03pt;height:142.91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</w:r>
      <w:bookmarkStart w:id="0" w:name="_GoBack"/>
      <w:r/>
      <w:bookmarkEnd w:id="0"/>
      <w:r/>
      <w:r>
        <w:rPr>
          <w:rFonts w:ascii="Times New Roman" w:hAnsi="Times New Roman" w:cs="Times New Roman"/>
          <w:color w:val="ff0000"/>
          <w:sz w:val="24"/>
          <w:szCs w:val="24"/>
        </w:rPr>
      </w:r>
    </w:p>
    <w:sectPr>
      <w:footnotePr/>
      <w:endnotePr/>
      <w:type w:val="nextPage"/>
      <w:pgSz w:w="16838" w:h="11906" w:orient="landscape"/>
      <w:pgMar w:top="720" w:right="720" w:bottom="720" w:left="720" w:header="708" w:footer="708" w:gutter="0"/>
      <w:cols w:num="3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704020202020204"/>
  </w:font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Tahoma" w:hAnsi="Tahoma" w:cs="Tahoma"/>
      <w:sz w:val="16"/>
      <w:szCs w:val="16"/>
    </w:rPr>
  </w:style>
  <w:style w:type="paragraph" w:styleId="623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Гульназ Ахметзянова</cp:lastModifiedBy>
  <cp:revision>4</cp:revision>
  <dcterms:created xsi:type="dcterms:W3CDTF">2017-11-15T05:23:00Z</dcterms:created>
  <dcterms:modified xsi:type="dcterms:W3CDTF">2024-04-01T08:10:47Z</dcterms:modified>
</cp:coreProperties>
</file>