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b/>
        </w:rPr>
      </w:pPr>
      <w:r>
        <w:rPr>
          <w:b/>
        </w:rPr>
        <w:t xml:space="preserve">Концепция</w:t>
      </w:r>
      <w:r>
        <w:rPr>
          <w:b/>
        </w:rPr>
        <w:t xml:space="preserve"> </w:t>
      </w:r>
      <w:r>
        <w:rPr>
          <w:b/>
        </w:rPr>
        <w:t xml:space="preserve">реализации Всероссийской акции</w:t>
      </w:r>
      <w:r>
        <w:rPr>
          <w:b/>
        </w:rPr>
        <w:t xml:space="preserve"> «</w:t>
      </w:r>
      <w:r>
        <w:rPr>
          <w:b/>
        </w:rPr>
        <w:t xml:space="preserve">Везу детей безопасно!</w:t>
      </w:r>
      <w:r>
        <w:rPr>
          <w:b/>
        </w:rPr>
        <w:t xml:space="preserve">» в рамках </w:t>
      </w:r>
      <w:r>
        <w:rPr>
          <w:b/>
        </w:rPr>
        <w:t xml:space="preserve">направления Народной программы</w:t>
      </w:r>
      <w:r>
        <w:rPr>
          <w:b/>
        </w:rPr>
        <w:t xml:space="preserve"> Партии «ЕДИНАЯ РОССИЯ» «</w:t>
      </w:r>
      <w:r>
        <w:rPr>
          <w:b/>
        </w:rPr>
        <w:t xml:space="preserve">Крепкая семья</w:t>
      </w:r>
      <w:r>
        <w:rPr>
          <w:b/>
        </w:rPr>
        <w:t xml:space="preserve">»</w:t>
      </w:r>
      <w:r>
        <w:rPr>
          <w:b/>
        </w:rPr>
      </w:r>
      <w:r>
        <w:rPr>
          <w:b/>
        </w:rPr>
      </w:r>
    </w:p>
    <w:p>
      <w:pPr>
        <w:jc w:val="center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928"/>
      </w:pPr>
      <w:r>
        <w:t xml:space="preserve">ЦЕЛЬ</w:t>
      </w:r>
      <w:r>
        <w:t xml:space="preserve"> </w:t>
      </w:r>
      <w:r>
        <w:t xml:space="preserve">АКЦИИ</w:t>
      </w:r>
      <w:r/>
    </w:p>
    <w:p>
      <w:r>
        <w:t xml:space="preserve">Призыв граждан к соблюдению правил дорожного движения и мерам безопасности перевозки пассажиров, проявляя заботу о жизни и здоровье детей. Снижение уровня </w:t>
      </w:r>
      <w:r>
        <w:t xml:space="preserve">травмирован</w:t>
      </w:r>
      <w:r>
        <w:t xml:space="preserve">ия</w:t>
      </w:r>
      <w:r>
        <w:t xml:space="preserve"> и смерти детей в результате дорожно-транспортных происшествий.  </w:t>
      </w:r>
      <w:r/>
    </w:p>
    <w:p>
      <w:pPr>
        <w:pStyle w:val="928"/>
      </w:pPr>
      <w:r>
        <w:t xml:space="preserve">АУДИТОРИЯ</w:t>
      </w:r>
      <w:r>
        <w:t xml:space="preserve"> </w:t>
      </w:r>
      <w:r>
        <w:t xml:space="preserve">АКЦИИ</w:t>
      </w:r>
      <w:r/>
    </w:p>
    <w:p>
      <w:pPr>
        <w:pStyle w:val="927"/>
      </w:pPr>
      <w:r>
        <w:t xml:space="preserve">водители автомобилей всех категорий, в том числе такси, </w:t>
      </w:r>
      <w:r>
        <w:t xml:space="preserve">государственные и </w:t>
      </w:r>
      <w:r>
        <w:t xml:space="preserve">частные перевозчики, </w:t>
      </w:r>
      <w:r>
        <w:t xml:space="preserve">и пр.;</w:t>
      </w:r>
      <w:r/>
    </w:p>
    <w:p>
      <w:pPr>
        <w:pStyle w:val="927"/>
      </w:pPr>
      <w:r>
        <w:t xml:space="preserve">семьи с детьми</w:t>
      </w:r>
      <w:r>
        <w:t xml:space="preserve">, где есть хотя бы один автомобиль</w:t>
      </w:r>
      <w:r>
        <w:t xml:space="preserve">. </w:t>
      </w:r>
      <w:r/>
    </w:p>
    <w:p>
      <w:pPr>
        <w:spacing w:after="0"/>
      </w:pPr>
      <w:r>
        <w:t xml:space="preserve">Планируемый охват</w:t>
      </w:r>
      <w:r>
        <w:t xml:space="preserve"> – </w:t>
      </w:r>
      <w:r>
        <w:t xml:space="preserve">1</w:t>
      </w:r>
      <w:r>
        <w:t xml:space="preserve"> миллион</w:t>
      </w:r>
      <w:r>
        <w:t xml:space="preserve">ов</w:t>
      </w:r>
      <w:r>
        <w:t xml:space="preserve"> человек</w:t>
      </w:r>
      <w:r>
        <w:t xml:space="preserve">. </w:t>
      </w:r>
      <w:r/>
    </w:p>
    <w:p>
      <w:pPr>
        <w:pStyle w:val="928"/>
        <w:spacing w:before="120"/>
      </w:pPr>
      <w:r>
        <w:t xml:space="preserve">СРОКИ ПРОВЕДЕНИЯ АКЦИИ: </w:t>
      </w:r>
      <w:r>
        <w:rPr>
          <w:b w:val="0"/>
        </w:rPr>
        <w:t xml:space="preserve">13 июня –</w:t>
      </w:r>
      <w:r>
        <w:rPr>
          <w:b w:val="0"/>
        </w:rPr>
        <w:t xml:space="preserve"> 01</w:t>
      </w:r>
      <w:r>
        <w:rPr>
          <w:b w:val="0"/>
        </w:rPr>
        <w:t xml:space="preserve"> декабря 2024 года.</w:t>
      </w:r>
      <w:r/>
    </w:p>
    <w:p>
      <w:pPr>
        <w:pStyle w:val="928"/>
        <w:numPr>
          <w:ilvl w:val="0"/>
          <w:numId w:val="0"/>
        </w:numPr>
        <w:ind w:left="357"/>
        <w:spacing w:before="120"/>
      </w:pPr>
      <w:r/>
      <w:r/>
    </w:p>
    <w:p>
      <w:pPr>
        <w:pStyle w:val="928"/>
        <w:spacing w:after="0"/>
      </w:pPr>
      <w:r>
        <w:t xml:space="preserve">ДАТЫ ПРОВЕДЕНИЯ </w:t>
      </w:r>
      <w:r>
        <w:t xml:space="preserve">ТЕМАТИЧЕСКИХ МАССОВЫХ</w:t>
      </w:r>
      <w:r>
        <w:t xml:space="preserve"> МЕРОПРИЯТИЙ</w:t>
      </w:r>
      <w:r/>
    </w:p>
    <w:p>
      <w:pPr>
        <w:pStyle w:val="928"/>
        <w:numPr>
          <w:ilvl w:val="0"/>
          <w:numId w:val="22"/>
        </w:numPr>
        <w:rPr>
          <w:b w:val="0"/>
        </w:rPr>
      </w:pPr>
      <w:r>
        <w:rPr>
          <w:b w:val="0"/>
        </w:rPr>
        <w:t xml:space="preserve">29 июня – День молодёжи</w:t>
      </w:r>
      <w:r>
        <w:rPr>
          <w:b w:val="0"/>
        </w:rPr>
      </w:r>
      <w:r>
        <w:rPr>
          <w:b w:val="0"/>
        </w:rPr>
      </w:r>
    </w:p>
    <w:p>
      <w:pPr>
        <w:pStyle w:val="928"/>
        <w:numPr>
          <w:ilvl w:val="0"/>
          <w:numId w:val="22"/>
        </w:numPr>
        <w:rPr>
          <w:b w:val="0"/>
        </w:rPr>
      </w:pPr>
      <w:r>
        <w:rPr>
          <w:b w:val="0"/>
        </w:rPr>
        <w:t xml:space="preserve">03 июля – День Госавтоинспекции</w:t>
      </w:r>
      <w:r>
        <w:rPr>
          <w:b w:val="0"/>
        </w:rPr>
      </w:r>
      <w:r>
        <w:rPr>
          <w:b w:val="0"/>
        </w:rPr>
      </w:r>
    </w:p>
    <w:p>
      <w:pPr>
        <w:pStyle w:val="928"/>
        <w:numPr>
          <w:ilvl w:val="0"/>
          <w:numId w:val="22"/>
        </w:numPr>
        <w:rPr>
          <w:b w:val="0"/>
        </w:rPr>
      </w:pPr>
      <w:r>
        <w:rPr>
          <w:b w:val="0"/>
        </w:rPr>
        <w:t xml:space="preserve">08 июля – День семьи, любви и верности</w:t>
      </w:r>
      <w:r>
        <w:rPr>
          <w:b w:val="0"/>
        </w:rPr>
      </w:r>
      <w:r>
        <w:rPr>
          <w:b w:val="0"/>
        </w:rPr>
      </w:r>
    </w:p>
    <w:p>
      <w:pPr>
        <w:pStyle w:val="928"/>
        <w:numPr>
          <w:ilvl w:val="0"/>
          <w:numId w:val="22"/>
        </w:numPr>
        <w:rPr>
          <w:b w:val="0"/>
        </w:rPr>
      </w:pPr>
      <w:r>
        <w:rPr>
          <w:b w:val="0"/>
        </w:rPr>
        <w:t xml:space="preserve">01 сентября – День знаний</w:t>
      </w:r>
      <w:r>
        <w:rPr>
          <w:b w:val="0"/>
        </w:rPr>
      </w:r>
      <w:r>
        <w:rPr>
          <w:b w:val="0"/>
        </w:rPr>
      </w:r>
    </w:p>
    <w:p>
      <w:pPr>
        <w:pStyle w:val="928"/>
        <w:numPr>
          <w:ilvl w:val="0"/>
          <w:numId w:val="22"/>
        </w:numPr>
        <w:rPr>
          <w:b w:val="0"/>
        </w:rPr>
      </w:pPr>
      <w:r>
        <w:rPr>
          <w:b w:val="0"/>
        </w:rPr>
        <w:t xml:space="preserve">20 сентября – Единый день безопасности дорожного движения</w:t>
      </w:r>
      <w:r>
        <w:rPr>
          <w:b w:val="0"/>
        </w:rPr>
      </w:r>
      <w:r>
        <w:rPr>
          <w:b w:val="0"/>
        </w:rPr>
      </w:r>
    </w:p>
    <w:p>
      <w:pPr>
        <w:pStyle w:val="928"/>
        <w:numPr>
          <w:ilvl w:val="0"/>
          <w:numId w:val="22"/>
        </w:numPr>
        <w:rPr>
          <w:b w:val="0"/>
        </w:rPr>
      </w:pPr>
      <w:r>
        <w:rPr>
          <w:b w:val="0"/>
        </w:rPr>
        <w:t xml:space="preserve">27 октября – День автомобилиста в России</w:t>
      </w:r>
      <w:r>
        <w:rPr>
          <w:b w:val="0"/>
        </w:rPr>
      </w:r>
      <w:r>
        <w:rPr>
          <w:b w:val="0"/>
        </w:rPr>
      </w:r>
    </w:p>
    <w:p>
      <w:pPr>
        <w:pStyle w:val="928"/>
        <w:numPr>
          <w:ilvl w:val="0"/>
          <w:numId w:val="22"/>
        </w:numPr>
        <w:rPr>
          <w:b w:val="0"/>
        </w:rPr>
      </w:pPr>
      <w:r>
        <w:rPr>
          <w:b w:val="0"/>
        </w:rPr>
        <w:t xml:space="preserve">20 ноября – Всемирный день ребёнка</w:t>
      </w:r>
      <w:r>
        <w:rPr>
          <w:b w:val="0"/>
        </w:rPr>
      </w:r>
      <w:r>
        <w:rPr>
          <w:b w:val="0"/>
        </w:rPr>
      </w:r>
    </w:p>
    <w:p>
      <w:pPr>
        <w:pStyle w:val="928"/>
        <w:numPr>
          <w:ilvl w:val="0"/>
          <w:numId w:val="22"/>
        </w:numPr>
        <w:spacing w:after="240"/>
        <w:rPr>
          <w:b w:val="0"/>
        </w:rPr>
      </w:pPr>
      <w:r>
        <w:rPr>
          <w:b w:val="0"/>
        </w:rPr>
        <w:t xml:space="preserve">01</w:t>
      </w:r>
      <w:r>
        <w:rPr>
          <w:b w:val="0"/>
        </w:rPr>
        <w:t xml:space="preserve"> декабря – Подведение итогов акции</w:t>
      </w:r>
      <w:r>
        <w:rPr>
          <w:b w:val="0"/>
        </w:rPr>
      </w:r>
      <w:r>
        <w:rPr>
          <w:b w:val="0"/>
        </w:rPr>
      </w:r>
    </w:p>
    <w:p>
      <w:pPr>
        <w:pStyle w:val="928"/>
        <w:numPr>
          <w:ilvl w:val="0"/>
          <w:numId w:val="0"/>
        </w:numPr>
        <w:ind w:left="1077"/>
        <w:spacing w:after="240"/>
        <w:rPr>
          <w:b w:val="0"/>
        </w:rPr>
      </w:pPr>
      <w:r>
        <w:rPr>
          <w:b w:val="0"/>
        </w:rPr>
      </w:r>
      <w:r>
        <w:rPr>
          <w:b w:val="0"/>
        </w:rPr>
      </w:r>
      <w:r>
        <w:rPr>
          <w:b w:val="0"/>
        </w:rPr>
      </w:r>
    </w:p>
    <w:p>
      <w:pPr>
        <w:pStyle w:val="928"/>
      </w:pPr>
      <w:r>
        <w:t xml:space="preserve">ПЕРЕЧЕНЬ МАТЕРИАЛОВ АКЦИИ</w:t>
      </w:r>
      <w:r>
        <w:t xml:space="preserve"> (доступен по ссылке: </w:t>
      </w:r>
      <w:hyperlink r:id="rId10" w:tooltip="https://disk.yandex.ru/d/MseYl3Wg-CU5NQ" w:history="1">
        <w:r>
          <w:rPr>
            <w:rStyle w:val="938"/>
          </w:rPr>
          <w:t xml:space="preserve">https://disk.yandex.ru/d/MseYl3Wg-CU5NQ</w:t>
        </w:r>
      </w:hyperlink>
      <w:r>
        <w:t xml:space="preserve">) </w:t>
      </w:r>
      <w:r/>
    </w:p>
    <w:p>
      <w:pPr>
        <w:pStyle w:val="928"/>
        <w:numPr>
          <w:ilvl w:val="0"/>
          <w:numId w:val="23"/>
        </w:numPr>
        <w:rPr>
          <w:b w:val="0"/>
        </w:rPr>
      </w:pPr>
      <w:r>
        <w:rPr>
          <w:b w:val="0"/>
        </w:rPr>
        <w:t xml:space="preserve">Плакат Декрета (изготавливается на бумаге формата А3, размещается в организации в общедоступном месте);</w:t>
      </w:r>
      <w:r>
        <w:rPr>
          <w:b w:val="0"/>
        </w:rPr>
      </w:r>
      <w:r>
        <w:rPr>
          <w:b w:val="0"/>
        </w:rPr>
      </w:r>
    </w:p>
    <w:p>
      <w:pPr>
        <w:pStyle w:val="928"/>
        <w:numPr>
          <w:ilvl w:val="0"/>
          <w:numId w:val="23"/>
        </w:numPr>
        <w:rPr>
          <w:b w:val="0"/>
        </w:rPr>
      </w:pPr>
      <w:r>
        <w:rPr>
          <w:b w:val="0"/>
        </w:rPr>
        <w:t xml:space="preserve">Знак_мальчик</w:t>
      </w:r>
      <w:r>
        <w:rPr>
          <w:b w:val="0"/>
        </w:rPr>
        <w:t xml:space="preserve"> (основной) и </w:t>
      </w:r>
      <w:r>
        <w:rPr>
          <w:b w:val="0"/>
        </w:rPr>
        <w:t xml:space="preserve">Знак_девочка</w:t>
      </w:r>
      <w:r>
        <w:rPr>
          <w:b w:val="0"/>
        </w:rPr>
        <w:t xml:space="preserve"> (</w:t>
      </w:r>
      <w:r>
        <w:rPr>
          <w:b w:val="0"/>
        </w:rPr>
        <w:t xml:space="preserve">изготавливаю</w:t>
      </w:r>
      <w:r>
        <w:rPr>
          <w:b w:val="0"/>
        </w:rPr>
        <w:t xml:space="preserve">тся на самоклеящейся бумаге для раздачи во время взаимодействия с целевой аудиторией</w:t>
      </w:r>
      <w:r>
        <w:rPr>
          <w:b w:val="0"/>
        </w:rPr>
        <w:t xml:space="preserve">, ориентировочные размеры 10х10 см или больше</w:t>
      </w:r>
      <w:r>
        <w:rPr>
          <w:b w:val="0"/>
        </w:rPr>
        <w:t xml:space="preserve">);</w:t>
      </w:r>
      <w:r>
        <w:rPr>
          <w:b w:val="0"/>
        </w:rPr>
      </w:r>
      <w:r>
        <w:rPr>
          <w:b w:val="0"/>
        </w:rPr>
      </w:r>
    </w:p>
    <w:p>
      <w:pPr>
        <w:pStyle w:val="928"/>
        <w:numPr>
          <w:ilvl w:val="0"/>
          <w:numId w:val="23"/>
        </w:numPr>
        <w:rPr>
          <w:b w:val="0"/>
        </w:rPr>
      </w:pPr>
      <w:r>
        <w:rPr>
          <w:b w:val="0"/>
        </w:rPr>
        <w:t xml:space="preserve">Автовизитка</w:t>
      </w:r>
      <w:r>
        <w:rPr>
          <w:b w:val="0"/>
        </w:rPr>
        <w:t xml:space="preserve"> (изготавливается </w:t>
      </w:r>
      <w:r>
        <w:rPr>
          <w:b w:val="0"/>
        </w:rPr>
        <w:t xml:space="preserve">на плотной бумаге/картоне для многоразового </w:t>
      </w:r>
      <w:r>
        <w:rPr>
          <w:b w:val="0"/>
        </w:rPr>
        <w:t xml:space="preserve">практичного </w:t>
      </w:r>
      <w:r>
        <w:rPr>
          <w:b w:val="0"/>
        </w:rPr>
        <w:t xml:space="preserve">использования водителями авто);</w:t>
      </w:r>
      <w:r>
        <w:rPr>
          <w:b w:val="0"/>
        </w:rPr>
      </w:r>
      <w:r>
        <w:rPr>
          <w:b w:val="0"/>
        </w:rPr>
      </w:r>
    </w:p>
    <w:p>
      <w:pPr>
        <w:pStyle w:val="928"/>
        <w:numPr>
          <w:ilvl w:val="0"/>
          <w:numId w:val="23"/>
        </w:numPr>
        <w:rPr>
          <w:b w:val="0"/>
        </w:rPr>
      </w:pPr>
      <w:r>
        <w:rPr>
          <w:b w:val="0"/>
        </w:rPr>
        <w:t xml:space="preserve">Декрет о безопасности перевозки детей (изготавливается на обычной бумаге в размере А5</w:t>
      </w:r>
      <w:r>
        <w:rPr>
          <w:b w:val="0"/>
        </w:rPr>
        <w:t xml:space="preserve"> для распространения правил о перевозке детей);</w:t>
      </w:r>
      <w:r>
        <w:rPr>
          <w:b w:val="0"/>
        </w:rPr>
      </w:r>
      <w:r>
        <w:rPr>
          <w:b w:val="0"/>
        </w:rPr>
      </w:r>
    </w:p>
    <w:p>
      <w:pPr>
        <w:pStyle w:val="928"/>
        <w:numPr>
          <w:ilvl w:val="0"/>
          <w:numId w:val="23"/>
        </w:numPr>
        <w:rPr>
          <w:b w:val="0"/>
        </w:rPr>
      </w:pPr>
      <w:r>
        <w:rPr>
          <w:b w:val="0"/>
        </w:rPr>
        <w:t xml:space="preserve">Буклет – Декрет (изготавливается в виде книжки формата А5 (горизонтально) для распространения правил о перевозке детей);</w:t>
      </w:r>
      <w:r>
        <w:rPr>
          <w:b w:val="0"/>
        </w:rPr>
      </w:r>
      <w:r>
        <w:rPr>
          <w:b w:val="0"/>
        </w:rPr>
      </w:r>
    </w:p>
    <w:p>
      <w:pPr>
        <w:pStyle w:val="928"/>
        <w:numPr>
          <w:ilvl w:val="0"/>
          <w:numId w:val="23"/>
        </w:numPr>
        <w:rPr>
          <w:b w:val="0"/>
        </w:rPr>
      </w:pPr>
      <w:r>
        <w:rPr>
          <w:b w:val="0"/>
        </w:rPr>
        <w:t xml:space="preserve">Тематические знаки акции по увлечениям детей (изготавливаются на самоклеящейся бумаге, ориентировочные размеры 10х10 см и больше </w:t>
      </w:r>
      <w:r>
        <w:rPr>
          <w:b w:val="0"/>
        </w:rPr>
        <w:t xml:space="preserve">для раздачи во время взаимодействия с целевой аудиторией).</w:t>
      </w:r>
      <w:r>
        <w:rPr>
          <w:b w:val="0"/>
        </w:rPr>
      </w:r>
      <w:r>
        <w:rPr>
          <w:b w:val="0"/>
        </w:rPr>
      </w:r>
    </w:p>
    <w:p>
      <w:pPr>
        <w:pStyle w:val="928"/>
        <w:numPr>
          <w:ilvl w:val="0"/>
          <w:numId w:val="23"/>
        </w:numPr>
        <w:rPr>
          <w:b w:val="0"/>
        </w:rPr>
      </w:pPr>
      <w:r>
        <w:rPr>
          <w:b w:val="0"/>
        </w:rPr>
        <w:t xml:space="preserve">Меморандум_презентация</w:t>
      </w:r>
      <w:r>
        <w:rPr>
          <w:b w:val="0"/>
        </w:rPr>
        <w:t xml:space="preserve"> (используется в цифровом виде при необходимости рассказать об основных его положениях). </w:t>
      </w:r>
      <w:r>
        <w:rPr>
          <w:b w:val="0"/>
        </w:rPr>
      </w:r>
      <w:r>
        <w:rPr>
          <w:b w:val="0"/>
        </w:rPr>
      </w:r>
    </w:p>
    <w:p>
      <w:pPr>
        <w:pStyle w:val="928"/>
        <w:numPr>
          <w:ilvl w:val="0"/>
          <w:numId w:val="0"/>
        </w:numPr>
        <w:ind w:left="1437"/>
        <w:rPr>
          <w:b w:val="0"/>
        </w:rPr>
      </w:pPr>
      <w:r>
        <w:rPr>
          <w:b w:val="0"/>
        </w:rPr>
      </w:r>
      <w:r>
        <w:rPr>
          <w:b w:val="0"/>
        </w:rPr>
      </w:r>
      <w:r>
        <w:rPr>
          <w:b w:val="0"/>
        </w:rPr>
      </w:r>
    </w:p>
    <w:p>
      <w:pPr>
        <w:pStyle w:val="928"/>
      </w:pPr>
      <w:r>
        <w:t xml:space="preserve">ОРГАНИЗАЦИИ, ПРИНИМАЮЩИЕ УЧАСТИЕ В АКЦИИ</w:t>
      </w:r>
      <w:r/>
    </w:p>
    <w:p>
      <w:pPr>
        <w:pStyle w:val="924"/>
        <w:numPr>
          <w:ilvl w:val="0"/>
          <w:numId w:val="19"/>
        </w:numPr>
      </w:pPr>
      <w:r>
        <w:t xml:space="preserve">Государственные и муниципальные органы власти;</w:t>
      </w:r>
      <w:r/>
    </w:p>
    <w:p>
      <w:pPr>
        <w:pStyle w:val="924"/>
        <w:numPr>
          <w:ilvl w:val="0"/>
          <w:numId w:val="19"/>
        </w:numPr>
      </w:pPr>
      <w:r>
        <w:t xml:space="preserve">Учреждения здравоохранения (детские поликлиники, родильные дома, перинатальные центры);</w:t>
      </w:r>
      <w:r/>
    </w:p>
    <w:p>
      <w:pPr>
        <w:pStyle w:val="924"/>
        <w:numPr>
          <w:ilvl w:val="0"/>
          <w:numId w:val="19"/>
        </w:numPr>
      </w:pPr>
      <w:r>
        <w:t xml:space="preserve">Образовательные учреждения (детские сады, школы, организации дополнительного образования);</w:t>
      </w:r>
      <w:r/>
    </w:p>
    <w:p>
      <w:pPr>
        <w:pStyle w:val="924"/>
        <w:numPr>
          <w:ilvl w:val="0"/>
          <w:numId w:val="19"/>
        </w:numPr>
      </w:pPr>
      <w:r>
        <w:t xml:space="preserve">Учреждения культуры (дома культуры, театры юного зрителя, креативные пространства и т.п.);</w:t>
      </w:r>
      <w:r/>
    </w:p>
    <w:p>
      <w:pPr>
        <w:pStyle w:val="924"/>
        <w:numPr>
          <w:ilvl w:val="0"/>
          <w:numId w:val="19"/>
        </w:numPr>
      </w:pPr>
      <w:r>
        <w:t xml:space="preserve">Общественные организации (р</w:t>
      </w:r>
      <w:r>
        <w:t xml:space="preserve">одительские сообщества</w:t>
      </w:r>
      <w:r>
        <w:t xml:space="preserve">, </w:t>
      </w:r>
      <w:r>
        <w:t xml:space="preserve">в том числе региональные);</w:t>
      </w:r>
      <w:r/>
    </w:p>
    <w:p>
      <w:pPr>
        <w:pStyle w:val="924"/>
        <w:numPr>
          <w:ilvl w:val="0"/>
          <w:numId w:val="19"/>
        </w:numPr>
      </w:pPr>
      <w:r>
        <w:t xml:space="preserve">Заправочные станции;</w:t>
      </w:r>
      <w:r/>
    </w:p>
    <w:p>
      <w:pPr>
        <w:pStyle w:val="924"/>
        <w:numPr>
          <w:ilvl w:val="0"/>
          <w:numId w:val="19"/>
        </w:numPr>
      </w:pPr>
      <w:r>
        <w:t xml:space="preserve">Объекты общественного (быстрого) питания, выдающие заказы водителям, не выходя из машины</w:t>
      </w:r>
      <w:r>
        <w:t xml:space="preserve"> (при раздаче детских наборов)</w:t>
      </w:r>
      <w:r>
        <w:t xml:space="preserve">;</w:t>
      </w:r>
      <w:r/>
    </w:p>
    <w:p>
      <w:pPr>
        <w:pStyle w:val="924"/>
        <w:numPr>
          <w:ilvl w:val="0"/>
          <w:numId w:val="19"/>
        </w:numPr>
      </w:pPr>
      <w:r>
        <w:t xml:space="preserve">Автосалоны;</w:t>
      </w:r>
      <w:r/>
    </w:p>
    <w:p>
      <w:pPr>
        <w:pStyle w:val="924"/>
        <w:numPr>
          <w:ilvl w:val="0"/>
          <w:numId w:val="19"/>
        </w:numPr>
      </w:pPr>
      <w:r>
        <w:t xml:space="preserve">Производители детских удерживающих устройств;</w:t>
      </w:r>
      <w:r/>
    </w:p>
    <w:p>
      <w:pPr>
        <w:pStyle w:val="924"/>
        <w:numPr>
          <w:ilvl w:val="0"/>
          <w:numId w:val="19"/>
        </w:numPr>
      </w:pPr>
      <w:r>
        <w:t xml:space="preserve">Любые организации, разделяющие положения Меморандума и поддерживающие правила Декрета о безопасности ребёнка в автомобиле.</w:t>
      </w:r>
      <w:r/>
    </w:p>
    <w:p>
      <w:pPr>
        <w:pStyle w:val="924"/>
        <w:ind w:left="1077" w:firstLine="0"/>
      </w:pPr>
      <w:r/>
      <w:r/>
    </w:p>
    <w:p>
      <w:pPr>
        <w:pStyle w:val="928"/>
      </w:pPr>
      <w:r>
        <w:t xml:space="preserve">ПАРТНЕРЫ </w:t>
      </w:r>
      <w:r>
        <w:t xml:space="preserve">АКЦИИ</w:t>
      </w:r>
      <w:r/>
    </w:p>
    <w:p>
      <w:pPr>
        <w:pStyle w:val="927"/>
      </w:pPr>
      <w:r>
        <w:t xml:space="preserve">Всероссийская политическая партия «ЕДИНАЯ РОССИЯ»</w:t>
      </w:r>
      <w:r>
        <w:t xml:space="preserve">; </w:t>
      </w:r>
      <w:r/>
    </w:p>
    <w:p>
      <w:pPr>
        <w:pStyle w:val="927"/>
      </w:pPr>
      <w:r>
        <w:t xml:space="preserve">АО «АВТОВАЗ»;</w:t>
      </w:r>
      <w:r/>
    </w:p>
    <w:p>
      <w:pPr>
        <w:pStyle w:val="927"/>
      </w:pPr>
      <w:r>
        <w:t xml:space="preserve">АО МАЗ «Москвич»;</w:t>
      </w:r>
      <w:r/>
    </w:p>
    <w:p>
      <w:pPr>
        <w:pStyle w:val="927"/>
      </w:pPr>
      <w:r>
        <w:t xml:space="preserve">Ассоциация</w:t>
      </w:r>
      <w:r>
        <w:t xml:space="preserve"> производителей детских автокресел и колясок «Приоритет»</w:t>
      </w:r>
      <w:r>
        <w:t xml:space="preserve">;</w:t>
      </w:r>
      <w:r/>
    </w:p>
    <w:p>
      <w:pPr>
        <w:pStyle w:val="927"/>
      </w:pPr>
      <w:r>
        <w:t xml:space="preserve">ГК «ГАЗ»;</w:t>
      </w:r>
      <w:r/>
    </w:p>
    <w:p>
      <w:pPr>
        <w:pStyle w:val="927"/>
      </w:pPr>
      <w:r>
        <w:t xml:space="preserve">ГК «Детский мир»;</w:t>
      </w:r>
      <w:r/>
    </w:p>
    <w:p>
      <w:pPr>
        <w:pStyle w:val="927"/>
      </w:pPr>
      <w:r>
        <w:t xml:space="preserve">Государственная Дума Российской Федерации;</w:t>
      </w:r>
      <w:r/>
    </w:p>
    <w:p>
      <w:pPr>
        <w:pStyle w:val="927"/>
      </w:pPr>
      <w:r>
        <w:t xml:space="preserve">Министерство внутренних дел Российской Федерации;</w:t>
      </w:r>
      <w:r/>
    </w:p>
    <w:p>
      <w:pPr>
        <w:pStyle w:val="927"/>
      </w:pPr>
      <w:r>
        <w:t xml:space="preserve">Министерство здравоохранения Российской Федерации;</w:t>
      </w:r>
      <w:r/>
    </w:p>
    <w:p>
      <w:pPr>
        <w:pStyle w:val="927"/>
      </w:pPr>
      <w:r>
        <w:t xml:space="preserve">Министерство культуры Российской Федерации;</w:t>
      </w:r>
      <w:r/>
    </w:p>
    <w:p>
      <w:pPr>
        <w:pStyle w:val="927"/>
      </w:pPr>
      <w:r>
        <w:t xml:space="preserve">Министерство </w:t>
      </w:r>
      <w:r>
        <w:t xml:space="preserve">просвещения</w:t>
      </w:r>
      <w:r>
        <w:t xml:space="preserve"> Российской Федерации;</w:t>
      </w:r>
      <w:r/>
    </w:p>
    <w:p>
      <w:pPr>
        <w:pStyle w:val="927"/>
      </w:pPr>
      <w:r>
        <w:t xml:space="preserve">ОАО «УАЗ»;</w:t>
      </w:r>
      <w:r/>
    </w:p>
    <w:p>
      <w:pPr>
        <w:pStyle w:val="927"/>
      </w:pPr>
      <w:r>
        <w:t xml:space="preserve">Общероссийская общественная организация «Национальная родительская ассоциация социальной поддержки семьи и защиты семейных ценностей»;</w:t>
      </w:r>
      <w:r/>
    </w:p>
    <w:p>
      <w:pPr>
        <w:pStyle w:val="927"/>
      </w:pPr>
      <w:r>
        <w:t xml:space="preserve">Общероссийская общественная организация поддержки материнства и детства</w:t>
      </w:r>
      <w:r>
        <w:t xml:space="preserve"> «Совет матерей»;</w:t>
      </w:r>
      <w:r/>
    </w:p>
    <w:p>
      <w:pPr>
        <w:pStyle w:val="927"/>
      </w:pPr>
      <w:r>
        <w:t xml:space="preserve">ООО «Такси-Максим»;</w:t>
      </w:r>
      <w:r/>
    </w:p>
    <w:p>
      <w:pPr>
        <w:pStyle w:val="927"/>
      </w:pPr>
      <w:r>
        <w:t xml:space="preserve">ПАО «Газпром нефть»;</w:t>
      </w:r>
      <w:r/>
    </w:p>
    <w:p>
      <w:pPr>
        <w:pStyle w:val="927"/>
      </w:pPr>
      <w:r>
        <w:t xml:space="preserve">ПАО «Лукойл»;</w:t>
      </w:r>
      <w:r/>
    </w:p>
    <w:p>
      <w:pPr>
        <w:pStyle w:val="927"/>
      </w:pPr>
      <w:r>
        <w:t xml:space="preserve">ПАО «Татнефть»;</w:t>
      </w:r>
      <w:r/>
    </w:p>
    <w:p>
      <w:pPr>
        <w:pStyle w:val="927"/>
      </w:pPr>
      <w:r>
        <w:t xml:space="preserve">ПАО НК «Роснефть»;</w:t>
      </w:r>
      <w:r/>
    </w:p>
    <w:p>
      <w:pPr>
        <w:pStyle w:val="927"/>
      </w:pPr>
      <w:r>
        <w:t xml:space="preserve">РДДМ «Движение первых»;</w:t>
      </w:r>
      <w:r/>
    </w:p>
    <w:p>
      <w:pPr>
        <w:pStyle w:val="927"/>
      </w:pPr>
      <w:r>
        <w:t xml:space="preserve">С</w:t>
      </w:r>
      <w:r>
        <w:t xml:space="preserve">ервис-</w:t>
      </w:r>
      <w:r>
        <w:t xml:space="preserve">агрегатор</w:t>
      </w:r>
      <w:r>
        <w:t xml:space="preserve"> такси «</w:t>
      </w:r>
      <w:r>
        <w:t xml:space="preserve">Таксовичкоф</w:t>
      </w:r>
      <w:r>
        <w:t xml:space="preserve">»;</w:t>
      </w:r>
      <w:r/>
    </w:p>
    <w:p>
      <w:pPr>
        <w:pStyle w:val="927"/>
      </w:pPr>
      <w:r>
        <w:t xml:space="preserve">С</w:t>
      </w:r>
      <w:r>
        <w:t xml:space="preserve">ервис-</w:t>
      </w:r>
      <w:r>
        <w:t xml:space="preserve">агрегатор</w:t>
      </w:r>
      <w:r>
        <w:t xml:space="preserve"> такси «</w:t>
      </w:r>
      <w:r>
        <w:t xml:space="preserve">Яндекс.Такси</w:t>
      </w:r>
      <w:r>
        <w:t xml:space="preserve">»;</w:t>
      </w:r>
      <w:r/>
    </w:p>
    <w:p>
      <w:pPr>
        <w:pStyle w:val="927"/>
      </w:pPr>
      <w:r>
        <w:t xml:space="preserve">Сеть быстрого питания «Вкусно и точка»;</w:t>
      </w:r>
      <w:r/>
    </w:p>
    <w:p>
      <w:pPr>
        <w:pStyle w:val="927"/>
      </w:pPr>
      <w:r>
        <w:t xml:space="preserve">Совет Федерации;</w:t>
      </w:r>
      <w:r/>
    </w:p>
    <w:p>
      <w:pPr>
        <w:pStyle w:val="927"/>
      </w:pPr>
      <w:r>
        <w:t xml:space="preserve">и др.</w:t>
      </w:r>
      <w:r/>
    </w:p>
    <w:p>
      <w:pPr>
        <w:pStyle w:val="928"/>
      </w:pPr>
      <w:r>
        <w:t xml:space="preserve">РОЛЬ </w:t>
      </w:r>
      <w:r>
        <w:t xml:space="preserve">ПАРТНЕРОВ</w:t>
      </w:r>
      <w:r>
        <w:t xml:space="preserve"> </w:t>
      </w:r>
      <w:r>
        <w:t xml:space="preserve">В </w:t>
      </w:r>
      <w:r>
        <w:t xml:space="preserve">АКЦИИ</w:t>
      </w:r>
      <w:r/>
    </w:p>
    <w:p>
      <w:pPr>
        <w:pStyle w:val="931"/>
        <w:rPr>
          <w:b/>
        </w:rPr>
      </w:pPr>
      <w:r>
        <w:rPr>
          <w:b/>
        </w:rPr>
        <w:t xml:space="preserve">Всероссийская полит</w:t>
      </w:r>
      <w:r>
        <w:rPr>
          <w:b/>
        </w:rPr>
        <w:t xml:space="preserve">ическая партия «ЕДИНАЯ РОССИЯ»</w:t>
      </w:r>
      <w:r>
        <w:rPr>
          <w:b/>
        </w:rPr>
        <w:t xml:space="preserve">, Региональные исполнительные комитеты Партии</w:t>
      </w:r>
      <w:r>
        <w:rPr>
          <w:b/>
        </w:rPr>
      </w:r>
      <w:r>
        <w:rPr>
          <w:b/>
        </w:rPr>
      </w:r>
    </w:p>
    <w:p>
      <w:pPr>
        <w:pStyle w:val="927"/>
      </w:pPr>
      <w:r>
        <w:t xml:space="preserve">о</w:t>
      </w:r>
      <w:r>
        <w:t xml:space="preserve">рганизация и проведение мотивирующих меропри</w:t>
      </w:r>
      <w:r>
        <w:t xml:space="preserve">ятий, </w:t>
      </w:r>
      <w:r>
        <w:t xml:space="preserve">в том числе лекци</w:t>
      </w:r>
      <w:r>
        <w:t xml:space="preserve">й</w:t>
      </w:r>
      <w:r>
        <w:t xml:space="preserve"> и встреч </w:t>
      </w:r>
      <w:r>
        <w:t xml:space="preserve">для </w:t>
      </w:r>
      <w:r>
        <w:t xml:space="preserve">граждан</w:t>
      </w:r>
      <w:r>
        <w:t xml:space="preserve"> от </w:t>
      </w:r>
      <w:r>
        <w:t xml:space="preserve">партийны</w:t>
      </w:r>
      <w:r>
        <w:t xml:space="preserve">х</w:t>
      </w:r>
      <w:r>
        <w:t xml:space="preserve"> </w:t>
      </w:r>
      <w:r>
        <w:t xml:space="preserve">эксперт</w:t>
      </w:r>
      <w:r>
        <w:t xml:space="preserve">ов</w:t>
      </w:r>
      <w:r>
        <w:t xml:space="preserve">,</w:t>
      </w:r>
      <w:r>
        <w:t xml:space="preserve"> депутат</w:t>
      </w:r>
      <w:r>
        <w:t xml:space="preserve">ов</w:t>
      </w:r>
      <w:r>
        <w:t xml:space="preserve">, </w:t>
      </w:r>
      <w:r>
        <w:t xml:space="preserve">лидер</w:t>
      </w:r>
      <w:r>
        <w:t xml:space="preserve">ов</w:t>
      </w:r>
      <w:r>
        <w:t xml:space="preserve"> общественного мнения</w:t>
      </w:r>
      <w:r>
        <w:t xml:space="preserve">;</w:t>
      </w:r>
      <w:r/>
    </w:p>
    <w:p>
      <w:pPr>
        <w:pStyle w:val="927"/>
      </w:pPr>
      <w:r>
        <w:t xml:space="preserve">п</w:t>
      </w:r>
      <w:r>
        <w:t xml:space="preserve">родвижение</w:t>
      </w:r>
      <w:r>
        <w:t xml:space="preserve"> информационных и агитационных материалов</w:t>
      </w:r>
      <w:r>
        <w:t xml:space="preserve"> </w:t>
      </w:r>
      <w:r>
        <w:t xml:space="preserve">акции</w:t>
      </w:r>
      <w:r>
        <w:t xml:space="preserve">, а также популяризация</w:t>
      </w:r>
      <w:r>
        <w:t xml:space="preserve"> </w:t>
      </w:r>
      <w:r>
        <w:t xml:space="preserve">результат</w:t>
      </w:r>
      <w:r>
        <w:t xml:space="preserve">ов акции </w:t>
      </w:r>
      <w:r>
        <w:t xml:space="preserve">через сеть </w:t>
      </w:r>
      <w:r>
        <w:t xml:space="preserve">информационных ресурсов Партии;</w:t>
      </w:r>
      <w:r/>
    </w:p>
    <w:p>
      <w:pPr>
        <w:pStyle w:val="927"/>
      </w:pPr>
      <w:r>
        <w:t xml:space="preserve">п</w:t>
      </w:r>
      <w:r>
        <w:t xml:space="preserve">редоставление партнерам </w:t>
      </w:r>
      <w:r>
        <w:t xml:space="preserve">акции</w:t>
      </w:r>
      <w:r>
        <w:t xml:space="preserve"> </w:t>
      </w:r>
      <w:r>
        <w:t xml:space="preserve">партийных </w:t>
      </w:r>
      <w:r>
        <w:t xml:space="preserve">площадок для проведения мероприятий с участниками </w:t>
      </w:r>
      <w:r>
        <w:t xml:space="preserve">акции</w:t>
      </w:r>
      <w:r>
        <w:t xml:space="preserve"> (штабы общественной поддержки, общественные приемные Партии</w:t>
      </w:r>
      <w:r>
        <w:t xml:space="preserve"> и др.</w:t>
      </w:r>
      <w:r>
        <w:t xml:space="preserve">)</w:t>
      </w:r>
      <w:r>
        <w:t xml:space="preserve">;</w:t>
      </w:r>
      <w:r/>
    </w:p>
    <w:p>
      <w:pPr>
        <w:pStyle w:val="927"/>
      </w:pPr>
      <w:r>
        <w:t xml:space="preserve">у</w:t>
      </w:r>
      <w:r>
        <w:t xml:space="preserve">частие в </w:t>
      </w:r>
      <w:r>
        <w:t xml:space="preserve">формировании пула </w:t>
      </w:r>
      <w:r>
        <w:t xml:space="preserve">лекторов</w:t>
      </w:r>
      <w:r>
        <w:t xml:space="preserve"> для граждан </w:t>
      </w:r>
      <w:r>
        <w:t xml:space="preserve">–</w:t>
      </w:r>
      <w:r>
        <w:t xml:space="preserve"> участников </w:t>
      </w:r>
      <w:r>
        <w:t xml:space="preserve">акции</w:t>
      </w:r>
      <w:r>
        <w:t xml:space="preserve"> </w:t>
      </w:r>
      <w:r>
        <w:t xml:space="preserve">из числа</w:t>
      </w:r>
      <w:r>
        <w:t xml:space="preserve"> членов и сторонни</w:t>
      </w:r>
      <w:r>
        <w:t xml:space="preserve">ков Партии и </w:t>
      </w:r>
      <w:r>
        <w:t xml:space="preserve">участников </w:t>
      </w:r>
      <w:r>
        <w:t xml:space="preserve">партийных организаций</w:t>
      </w:r>
      <w:r>
        <w:t xml:space="preserve">;</w:t>
      </w:r>
      <w:r/>
    </w:p>
    <w:p>
      <w:pPr>
        <w:pStyle w:val="927"/>
      </w:pPr>
      <w:r>
        <w:t xml:space="preserve">организация информационного сопровождения мероприятий акции;</w:t>
      </w:r>
      <w:r/>
    </w:p>
    <w:p>
      <w:pPr>
        <w:pStyle w:val="927"/>
      </w:pPr>
      <w:r>
        <w:t xml:space="preserve">подготовка креативов и медиа-материалов для распространения в СМИ и социальных сетях;</w:t>
      </w:r>
      <w:r/>
    </w:p>
    <w:p>
      <w:pPr>
        <w:pStyle w:val="927"/>
      </w:pPr>
      <w:r>
        <w:t xml:space="preserve">доведение информации об акции в регионы;</w:t>
      </w:r>
      <w:r/>
    </w:p>
    <w:p>
      <w:pPr>
        <w:pStyle w:val="927"/>
      </w:pPr>
      <w:r>
        <w:t xml:space="preserve">р</w:t>
      </w:r>
      <w:r>
        <w:t xml:space="preserve">азработка и продвижение </w:t>
      </w:r>
      <w:r>
        <w:t xml:space="preserve">нормо</w:t>
      </w:r>
      <w:r>
        <w:t xml:space="preserve">творческих инициатив, направленных на достижение цели </w:t>
      </w:r>
      <w:r>
        <w:t xml:space="preserve">акции</w:t>
      </w:r>
      <w:r>
        <w:t xml:space="preserve">.</w:t>
      </w:r>
      <w:r/>
    </w:p>
    <w:p>
      <w:pPr>
        <w:pStyle w:val="931"/>
        <w:rPr>
          <w:b/>
        </w:rPr>
      </w:pPr>
      <w:r>
        <w:rPr>
          <w:b/>
        </w:rPr>
        <w:t xml:space="preserve">Министерство </w:t>
      </w:r>
      <w:r>
        <w:rPr>
          <w:b/>
        </w:rPr>
        <w:t xml:space="preserve">просвещения</w:t>
      </w:r>
      <w:r>
        <w:rPr>
          <w:b/>
        </w:rPr>
        <w:t xml:space="preserve"> Российской Федерации</w:t>
      </w:r>
      <w:r>
        <w:rPr>
          <w:b/>
        </w:rPr>
      </w:r>
      <w:r>
        <w:rPr>
          <w:b/>
        </w:rPr>
      </w:r>
    </w:p>
    <w:p>
      <w:pPr>
        <w:pStyle w:val="927"/>
      </w:pPr>
      <w:r>
        <w:t xml:space="preserve">размещение публичного уведомления о присоединении к Меморандуму на своих официальных ресурсах в сети «Интернет» и/или в социальных сетях с ссылкой на страниц</w:t>
      </w:r>
      <w:r>
        <w:t xml:space="preserve">у</w:t>
      </w:r>
      <w:r>
        <w:t xml:space="preserve"> акции «Везу детей безопасно!» </w:t>
      </w:r>
      <w:hyperlink r:id="rId11" w:tooltip="https://7ya.er.ru/main-directions/dekret-o-bezopasnosti-rebenka-v-avtomobile" w:history="1">
        <w:r>
          <w:rPr>
            <w:rStyle w:val="938"/>
          </w:rPr>
          <w:t xml:space="preserve">https://7ya.er.ru/main-directions/dekret-o-bezopasnosti-rebenka-v-avtomobile</w:t>
        </w:r>
      </w:hyperlink>
      <w:r>
        <w:t xml:space="preserve"> – </w:t>
      </w:r>
      <w:r>
        <w:rPr>
          <w:b/>
          <w:bCs/>
        </w:rPr>
        <w:t xml:space="preserve">до 21 июня 2024 года</w:t>
      </w:r>
      <w:r>
        <w:t xml:space="preserve">;</w:t>
      </w:r>
      <w:r/>
    </w:p>
    <w:p>
      <w:pPr>
        <w:pStyle w:val="927"/>
        <w:rPr>
          <w:b/>
          <w:bCs/>
        </w:rPr>
      </w:pPr>
      <w:r>
        <w:t xml:space="preserve">изготовление и размещение в общественных местах учреждений дошкольного и школьного образования плаката с Декретом </w:t>
      </w:r>
      <w:r>
        <w:t xml:space="preserve">о безопасности перевозки детей – </w:t>
      </w:r>
      <w:r>
        <w:rPr>
          <w:b/>
          <w:bCs/>
        </w:rPr>
        <w:t xml:space="preserve">до 28 июня 2024 года</w:t>
      </w:r>
      <w:r>
        <w:rPr>
          <w:b/>
          <w:bCs/>
        </w:rPr>
        <w:t xml:space="preserve">;</w:t>
      </w:r>
      <w:r>
        <w:rPr>
          <w:b/>
          <w:bCs/>
        </w:rPr>
      </w:r>
    </w:p>
    <w:p>
      <w:pPr>
        <w:pStyle w:val="927"/>
      </w:pPr>
      <w:r>
        <w:t xml:space="preserve">содействие в </w:t>
      </w:r>
      <w:r>
        <w:t xml:space="preserve">организаци</w:t>
      </w:r>
      <w:r>
        <w:t xml:space="preserve">и</w:t>
      </w:r>
      <w:r>
        <w:t xml:space="preserve"> и проведени</w:t>
      </w:r>
      <w:r>
        <w:t xml:space="preserve">и</w:t>
      </w:r>
      <w:r>
        <w:t xml:space="preserve"> встреч экспертов по вопросам безопасной перевозки детей в автомобиле с трудовыми коллективами, профессиональными сообществами, родительскими комитетами;</w:t>
      </w:r>
      <w:r/>
    </w:p>
    <w:p>
      <w:pPr>
        <w:pStyle w:val="927"/>
      </w:pPr>
      <w:r>
        <w:t xml:space="preserve">организация и проведение тематических мероприятий по вопросам безопасной перевозки детей в автомобиле</w:t>
      </w:r>
      <w:r>
        <w:t xml:space="preserve"> с использованием информации об акции</w:t>
      </w:r>
      <w:r>
        <w:t xml:space="preserve"> </w:t>
      </w:r>
      <w:r>
        <w:t xml:space="preserve">(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в период летних каникул – 2 раза в месяц, в учебное время – 1 раз в неделю, также учитывать тематические мероприятия</w:t>
      </w:r>
      <w:r>
        <w:rPr>
          <w:sz w:val="24"/>
          <w:szCs w:val="24"/>
        </w:rPr>
        <w:t xml:space="preserve">);</w:t>
      </w:r>
      <w:r/>
      <w:r/>
      <w:r/>
    </w:p>
    <w:p>
      <w:pPr>
        <w:pStyle w:val="927"/>
      </w:pPr>
      <w:r>
        <w:t xml:space="preserve">доведение</w:t>
      </w:r>
      <w:r>
        <w:t xml:space="preserve"> информации </w:t>
      </w:r>
      <w:r>
        <w:t xml:space="preserve">об акции </w:t>
      </w:r>
      <w:r>
        <w:t xml:space="preserve">в регион</w:t>
      </w:r>
      <w:r>
        <w:t xml:space="preserve">ы и обеспечение</w:t>
      </w:r>
      <w:r>
        <w:t xml:space="preserve"> её</w:t>
      </w:r>
      <w:r>
        <w:t xml:space="preserve"> распространения в учреждениях образования</w:t>
      </w:r>
      <w:r>
        <w:t xml:space="preserve">, в том числе через групповые чаты</w:t>
      </w:r>
      <w:r>
        <w:t xml:space="preserve">;</w:t>
      </w:r>
      <w:r/>
    </w:p>
    <w:p>
      <w:pPr>
        <w:pStyle w:val="927"/>
      </w:pPr>
      <w:r>
        <w:t xml:space="preserve">размещение на «Главных страницах» своих информационных ресурсов цифровых версий знаков акции с </w:t>
      </w:r>
      <w:r>
        <w:rPr>
          <w:lang w:val="en-US"/>
        </w:rPr>
        <w:t xml:space="preserve">QR</w:t>
      </w:r>
      <w:r>
        <w:t xml:space="preserve">-</w:t>
      </w:r>
      <w:r>
        <w:t xml:space="preserve">кодом;</w:t>
      </w:r>
      <w:r/>
    </w:p>
    <w:p>
      <w:pPr>
        <w:pStyle w:val="927"/>
      </w:pPr>
      <w:r>
        <w:t xml:space="preserve">приглашение других заинтересованных юридических и физических лиц и организаций.</w:t>
      </w:r>
      <w:r>
        <w:t xml:space="preserve"> </w:t>
      </w:r>
      <w:r/>
    </w:p>
    <w:p>
      <w:pPr>
        <w:pStyle w:val="931"/>
        <w:rPr>
          <w:b/>
        </w:rPr>
      </w:pPr>
      <w:r>
        <w:rPr>
          <w:b/>
        </w:rPr>
        <w:t xml:space="preserve">Министерство </w:t>
      </w:r>
      <w:r>
        <w:rPr>
          <w:b/>
        </w:rPr>
        <w:t xml:space="preserve">здравоохранения</w:t>
      </w:r>
      <w:r>
        <w:rPr>
          <w:b/>
        </w:rPr>
        <w:t xml:space="preserve"> Российской Федерации</w:t>
      </w:r>
      <w:r>
        <w:rPr>
          <w:b/>
        </w:rPr>
      </w:r>
      <w:r>
        <w:rPr>
          <w:b/>
        </w:rPr>
      </w:r>
    </w:p>
    <w:p>
      <w:pPr>
        <w:pStyle w:val="927"/>
      </w:pPr>
      <w:r>
        <w:t xml:space="preserve">размещение публичного уведомления о присоединении к Меморандуму на своих официальных ресурсах в сети «Интернет» и/или в социальных сетях с с</w:t>
      </w:r>
      <w:r>
        <w:t xml:space="preserve">сылкой на страницу</w:t>
      </w:r>
      <w:r>
        <w:t xml:space="preserve"> акции «Везу детей безопасно!» </w:t>
      </w:r>
      <w:hyperlink r:id="rId12" w:tooltip="https://7ya.er.ru/main-directions/dekret-o-bezopasnosti-rebenka-v-avtomobile" w:history="1">
        <w:r>
          <w:rPr>
            <w:rStyle w:val="938"/>
          </w:rPr>
          <w:t xml:space="preserve">https://7ya.er.ru/main-directions/dekret-o-bezopasnosti-rebenka-v-avtomobile</w:t>
        </w:r>
      </w:hyperlink>
      <w:r>
        <w:t xml:space="preserve"> </w:t>
      </w:r>
      <w:r>
        <w:rPr>
          <w:b/>
          <w:bCs/>
        </w:rPr>
        <w:t xml:space="preserve">– до 21 июня 2024 года;</w:t>
      </w:r>
      <w:r/>
    </w:p>
    <w:p>
      <w:pPr>
        <w:pStyle w:val="927"/>
      </w:pPr>
      <w:r>
        <w:t xml:space="preserve">изготовление и размещение в общественных местах учреждений </w:t>
      </w:r>
      <w:r>
        <w:t xml:space="preserve">здравоохранения (детские поликлиники, перинатальные центры, </w:t>
      </w:r>
      <w:r>
        <w:t xml:space="preserve">родильные дома) </w:t>
      </w:r>
      <w:r>
        <w:t xml:space="preserve">плаката с Декретом о безопасност</w:t>
      </w:r>
      <w:r>
        <w:t xml:space="preserve">и перевозки детей</w:t>
      </w:r>
      <w:r>
        <w:t xml:space="preserve"> </w:t>
      </w:r>
      <w:r>
        <w:t xml:space="preserve">– </w:t>
      </w:r>
      <w:r>
        <w:rPr>
          <w:b/>
          <w:bCs/>
        </w:rPr>
        <w:t xml:space="preserve">до 28 июня 2024 года</w:t>
      </w:r>
      <w:r>
        <w:rPr>
          <w:b/>
          <w:bCs/>
        </w:rPr>
        <w:t xml:space="preserve">;</w:t>
      </w:r>
      <w:r/>
      <w:r/>
      <w:r/>
    </w:p>
    <w:p>
      <w:pPr>
        <w:pStyle w:val="927"/>
      </w:pPr>
      <w:r>
        <w:t xml:space="preserve">содействие в организации и проведении</w:t>
      </w:r>
      <w:r>
        <w:t xml:space="preserve"> встреч экспертов по вопросам безопасной перевозки детей в автомобиле с трудовыми коллективами</w:t>
      </w:r>
      <w:r>
        <w:t xml:space="preserve"> и </w:t>
      </w:r>
      <w:r>
        <w:t xml:space="preserve">профессиональными сообществами </w:t>
      </w:r>
      <w:r>
        <w:t xml:space="preserve">(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в период летних каникул – 2 раза в месяц, в учебное время – 1 раз в неделю, также учитывать тематические мероприятия</w:t>
      </w:r>
      <w:r>
        <w:rPr>
          <w:sz w:val="24"/>
          <w:szCs w:val="24"/>
        </w:rPr>
        <w:t xml:space="preserve">);</w:t>
      </w:r>
      <w:r/>
      <w:r/>
    </w:p>
    <w:p>
      <w:pPr>
        <w:pStyle w:val="927"/>
      </w:pPr>
      <w:r>
        <w:t xml:space="preserve">доведение информации об акции в регионы и обеспечение её распространения в учреждениях </w:t>
      </w:r>
      <w:r>
        <w:t xml:space="preserve">здравоохранения</w:t>
      </w:r>
      <w:r>
        <w:t xml:space="preserve">, в том числе через групповые чаты</w:t>
      </w:r>
      <w:r>
        <w:t xml:space="preserve">;</w:t>
      </w:r>
      <w:r/>
    </w:p>
    <w:p>
      <w:pPr>
        <w:pStyle w:val="927"/>
      </w:pPr>
      <w:r>
        <w:t xml:space="preserve">размещение на «Главных страницах» своих информационных ресурсов цифровых версий знаков акции с </w:t>
      </w:r>
      <w:r>
        <w:rPr>
          <w:lang w:val="en-US"/>
        </w:rPr>
        <w:t xml:space="preserve">QR</w:t>
      </w:r>
      <w:r>
        <w:t xml:space="preserve">-</w:t>
      </w:r>
      <w:r>
        <w:t xml:space="preserve">кодом;</w:t>
      </w:r>
      <w:r/>
    </w:p>
    <w:p>
      <w:pPr>
        <w:pStyle w:val="927"/>
      </w:pPr>
      <w:r>
        <w:t xml:space="preserve">приглашение других заинтересованных юридических и физических лиц и организаций. </w:t>
      </w:r>
      <w:r/>
    </w:p>
    <w:p>
      <w:pPr>
        <w:pStyle w:val="931"/>
        <w:rPr>
          <w:b/>
        </w:rPr>
      </w:pPr>
      <w:r>
        <w:rPr>
          <w:b/>
        </w:rPr>
        <w:t xml:space="preserve">Министерство </w:t>
      </w:r>
      <w:r>
        <w:rPr>
          <w:b/>
        </w:rPr>
        <w:t xml:space="preserve">внутренних дел</w:t>
      </w:r>
      <w:r>
        <w:rPr>
          <w:b/>
        </w:rPr>
        <w:t xml:space="preserve"> Российской Федерации</w:t>
      </w:r>
      <w:r>
        <w:rPr>
          <w:b/>
        </w:rPr>
      </w:r>
      <w:r>
        <w:rPr>
          <w:b/>
        </w:rPr>
      </w:r>
    </w:p>
    <w:p>
      <w:pPr>
        <w:pStyle w:val="927"/>
      </w:pPr>
      <w:r>
        <w:t xml:space="preserve">размещение публичного уведомления о присоединении к Меморандуму на своих официальных ресурсах в сети «Интернет» и/или в социальных сетях с ссылкой на страницу акции «Везу детей безопасно!» </w:t>
      </w:r>
      <w:hyperlink r:id="rId13" w:tooltip="https://7ya.er.ru/main-directions/dekret-o-bezopasnosti-rebenka-v-avtomobile" w:history="1">
        <w:r>
          <w:rPr>
            <w:rStyle w:val="938"/>
          </w:rPr>
          <w:t xml:space="preserve">https://7ya.er.ru/main-directions/dekret-o-bezopasnosti-rebenka-v-avtomobile</w:t>
        </w:r>
      </w:hyperlink>
      <w:r>
        <w:t xml:space="preserve"> </w:t>
      </w:r>
      <w:r>
        <w:t xml:space="preserve">– до 21 июня 2024 года.</w:t>
      </w:r>
      <w:r>
        <w:t xml:space="preserve">;</w:t>
      </w:r>
      <w:r/>
    </w:p>
    <w:p>
      <w:pPr>
        <w:pStyle w:val="927"/>
      </w:pPr>
      <w:r>
        <w:t xml:space="preserve">организация и проведение встреч сотрудников ГАИ по вопросам безопасной перевозки детей в автомобиле с трудовыми коллектива</w:t>
      </w:r>
      <w:r>
        <w:t xml:space="preserve">ми, профессиональными сообществами, детьми в образовательных организациях в рамках просветительской деятельности, направленной на профилактику нарушений в сфере безопасности дорожного движения, в том числе травматизма детей, участвующих в дорожном движении</w:t>
      </w:r>
      <w:r>
        <w:t xml:space="preserve">, с распространением знаков </w:t>
      </w:r>
      <w:r>
        <w:t xml:space="preserve">(на самоклеящейся бумаге)</w:t>
      </w:r>
      <w:r>
        <w:t xml:space="preserve"> </w:t>
      </w:r>
      <w:r>
        <w:t xml:space="preserve">(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в период летних каникул – 2 раза в месяц, в учебное время – 1 раз в неделю, также учитывать тематические мероприятия</w:t>
      </w:r>
      <w:r>
        <w:rPr>
          <w:sz w:val="24"/>
          <w:szCs w:val="24"/>
        </w:rPr>
        <w:t xml:space="preserve">);</w:t>
      </w:r>
      <w:r/>
      <w:r/>
    </w:p>
    <w:p>
      <w:pPr>
        <w:pStyle w:val="927"/>
      </w:pPr>
      <w:r>
        <w:t xml:space="preserve">распространение информации об акции </w:t>
      </w:r>
      <w:r>
        <w:t xml:space="preserve">среди водителей и водительских сообществ через региональные</w:t>
      </w:r>
      <w:r>
        <w:t xml:space="preserve"> </w:t>
      </w:r>
      <w:r>
        <w:t xml:space="preserve">ведомства</w:t>
      </w:r>
      <w:r>
        <w:t xml:space="preserve"> в рамках плановых рейдовых мероприятий</w:t>
      </w:r>
      <w:r>
        <w:t xml:space="preserve">;</w:t>
      </w:r>
      <w:r/>
    </w:p>
    <w:p>
      <w:pPr>
        <w:pStyle w:val="927"/>
      </w:pPr>
      <w:r>
        <w:t xml:space="preserve">размещение на «Главных страницах» своих информационных ресурсов цифровых версий знаков акции с </w:t>
      </w:r>
      <w:r>
        <w:rPr>
          <w:lang w:val="en-US"/>
        </w:rPr>
        <w:t xml:space="preserve">QR</w:t>
      </w:r>
      <w:r>
        <w:t xml:space="preserve">-</w:t>
      </w:r>
      <w:r>
        <w:t xml:space="preserve">кодом;</w:t>
      </w:r>
      <w:r/>
    </w:p>
    <w:p>
      <w:pPr>
        <w:pStyle w:val="927"/>
      </w:pPr>
      <w:r>
        <w:t xml:space="preserve">приглашение других заинтересованных юридических и физических лиц и организаций. </w:t>
      </w:r>
      <w:r/>
    </w:p>
    <w:p>
      <w:pPr>
        <w:pStyle w:val="931"/>
        <w:rPr>
          <w:b/>
        </w:rPr>
      </w:pPr>
      <w:r>
        <w:rPr>
          <w:b/>
        </w:rPr>
        <w:t xml:space="preserve">Министерство </w:t>
      </w:r>
      <w:r>
        <w:rPr>
          <w:b/>
        </w:rPr>
        <w:t xml:space="preserve">культуры Российской Федерации</w:t>
      </w:r>
      <w:r>
        <w:rPr>
          <w:b/>
        </w:rPr>
      </w:r>
      <w:r>
        <w:rPr>
          <w:b/>
        </w:rPr>
      </w:r>
    </w:p>
    <w:p>
      <w:pPr>
        <w:pStyle w:val="927"/>
        <w:rPr>
          <w:b/>
          <w:bCs/>
        </w:rPr>
      </w:pPr>
      <w:r>
        <w:t xml:space="preserve">размещение публичного уведомления о присоединении к Меморандуму на своих официальных ресурсах в сети «Интернет» и/или в социальных сетях с ссылкой на страницу акции «Везу детей безопасно!» </w:t>
      </w:r>
      <w:hyperlink r:id="rId14" w:tooltip="https://7ya.er.ru/main-directions/dekret-o-bezopasnosti-rebenka-v-avtomobile" w:history="1">
        <w:r>
          <w:rPr>
            <w:rStyle w:val="938"/>
          </w:rPr>
          <w:t xml:space="preserve">https://7ya.er.ru/main-directions/dekret-o-bezopasnosti-rebenka-v-avtomobile </w:t>
        </w:r>
        <w:r>
          <w:rPr>
            <w:b/>
            <w:bCs/>
          </w:rPr>
          <w:t xml:space="preserve">– до 21 июня 2024 года</w:t>
        </w:r>
        <w:r>
          <w:rPr>
            <w:rStyle w:val="938"/>
            <w:b/>
            <w:bCs/>
          </w:rPr>
        </w:r>
      </w:hyperlink>
      <w:r>
        <w:rPr>
          <w:b/>
          <w:bCs/>
        </w:rPr>
        <w:t xml:space="preserve">;</w:t>
      </w:r>
      <w:r>
        <w:rPr>
          <w:b/>
          <w:bCs/>
        </w:rPr>
      </w:r>
    </w:p>
    <w:p>
      <w:pPr>
        <w:pStyle w:val="927"/>
      </w:pPr>
      <w:r>
        <w:t xml:space="preserve">изготовление и размещение в общественных местах учреждений культуры (дома культуры, театры юного зрителя и пр.) плаката с Декретом </w:t>
      </w:r>
      <w:r>
        <w:t xml:space="preserve">о безопасности перевозки детей </w:t>
      </w:r>
      <w:r>
        <w:t xml:space="preserve">– </w:t>
      </w:r>
      <w:r>
        <w:rPr>
          <w:b/>
          <w:bCs/>
        </w:rPr>
        <w:t xml:space="preserve">до 28 июня 2024 года</w:t>
      </w:r>
      <w:r>
        <w:rPr>
          <w:b/>
          <w:bCs/>
        </w:rPr>
        <w:t xml:space="preserve">;</w:t>
      </w:r>
      <w:r/>
      <w:r/>
      <w:r>
        <w:t xml:space="preserve">;</w:t>
      </w:r>
      <w:r/>
    </w:p>
    <w:p>
      <w:pPr>
        <w:pStyle w:val="927"/>
      </w:pPr>
      <w:r>
        <w:t xml:space="preserve">содействие в организации и проведении</w:t>
      </w:r>
      <w:r>
        <w:t xml:space="preserve"> встреч экспертов по вопросам безопасной перевозки детей в автомобиле с трудовыми коллективами, профессиональными сообществами, родительскими объединениями;</w:t>
      </w:r>
      <w:r/>
    </w:p>
    <w:p>
      <w:pPr>
        <w:pStyle w:val="927"/>
      </w:pPr>
      <w:r>
        <w:t xml:space="preserve">организация и прове</w:t>
      </w:r>
      <w:r>
        <w:t xml:space="preserve">дение тематических мероприятий </w:t>
      </w:r>
      <w:r>
        <w:t xml:space="preserve">по вопросам безопасной перевозки детей в автомобиле</w:t>
      </w:r>
      <w:r>
        <w:t xml:space="preserve"> с использованием информации об акции</w:t>
      </w:r>
      <w:r>
        <w:t xml:space="preserve"> </w:t>
      </w:r>
      <w:r>
        <w:t xml:space="preserve">(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в период летних каникул – 2 раза в месяц, в учебное время – 1 раз в неделю, также учитывать тематические мероприятия</w:t>
      </w:r>
      <w:r>
        <w:rPr>
          <w:sz w:val="24"/>
          <w:szCs w:val="24"/>
        </w:rPr>
        <w:t xml:space="preserve">);</w:t>
      </w:r>
      <w:r/>
      <w:r/>
      <w:r/>
    </w:p>
    <w:p>
      <w:pPr>
        <w:pStyle w:val="927"/>
      </w:pPr>
      <w:r>
        <w:t xml:space="preserve">доведение информации об акции в регионы и обеспечение её распространения в учреждениях</w:t>
      </w:r>
      <w:r>
        <w:t xml:space="preserve"> культуры</w:t>
      </w:r>
      <w:r>
        <w:t xml:space="preserve">;</w:t>
      </w:r>
      <w:r/>
    </w:p>
    <w:p>
      <w:pPr>
        <w:pStyle w:val="927"/>
      </w:pPr>
      <w:r>
        <w:t xml:space="preserve">размещение на «Главных страницах» своих информационных ресурсов цифровых версий знаков акции с </w:t>
      </w:r>
      <w:r>
        <w:rPr>
          <w:lang w:val="en-US"/>
        </w:rPr>
        <w:t xml:space="preserve">QR</w:t>
      </w:r>
      <w:r>
        <w:t xml:space="preserve">-</w:t>
      </w:r>
      <w:r>
        <w:t xml:space="preserve">кодом;</w:t>
      </w:r>
      <w:r/>
    </w:p>
    <w:p>
      <w:pPr>
        <w:pStyle w:val="927"/>
      </w:pPr>
      <w:r>
        <w:t xml:space="preserve">приглашение других заинтересованных юридических и физических лиц и организаций. </w:t>
      </w:r>
      <w:r/>
    </w:p>
    <w:p>
      <w:pPr>
        <w:pStyle w:val="931"/>
      </w:pPr>
      <w:r>
        <w:rPr>
          <w:b/>
        </w:rPr>
        <w:t xml:space="preserve">Члены Совета Федерации, </w:t>
      </w:r>
      <w:r>
        <w:rPr>
          <w:b/>
        </w:rPr>
        <w:t xml:space="preserve">депутаты всех уровней (Государственная Дума, регионального и местного уровней)</w:t>
      </w:r>
      <w:r/>
    </w:p>
    <w:p>
      <w:pPr>
        <w:pStyle w:val="927"/>
        <w:rPr>
          <w:b/>
          <w:bCs/>
        </w:rPr>
      </w:pPr>
      <w:r>
        <w:t xml:space="preserve">размещение публичного уведомления о возможности присоединения к Меморандуму на своих официальных ресурсах в сети «Интернет» и/или в социальных сетях с ссылкой на страницу акции «Везу детей безопасно!» </w:t>
      </w:r>
      <w:hyperlink r:id="rId15" w:tooltip="https://7ya.er.ru/main-directions/dekret-o-bezopasnosti-rebenka-v-avtomobile" w:history="1">
        <w:r>
          <w:rPr>
            <w:rStyle w:val="938"/>
          </w:rPr>
          <w:t xml:space="preserve">https://7ya.er.ru/main-directions/dekret-o-bezopasnosti-rebenka-v-avtomobile </w:t>
        </w:r>
        <w:r>
          <w:rPr>
            <w:b/>
            <w:bCs/>
          </w:rPr>
          <w:t xml:space="preserve">– до 21 июня 2024 года</w:t>
        </w:r>
        <w:r>
          <w:rPr>
            <w:rStyle w:val="938"/>
            <w:b/>
            <w:bCs/>
          </w:rPr>
        </w:r>
      </w:hyperlink>
      <w:r>
        <w:rPr>
          <w:b/>
          <w:bCs/>
        </w:rPr>
        <w:t xml:space="preserve">;</w:t>
      </w:r>
      <w:r>
        <w:rPr>
          <w:b/>
          <w:bCs/>
        </w:rPr>
      </w:r>
    </w:p>
    <w:p>
      <w:pPr>
        <w:pStyle w:val="927"/>
      </w:pPr>
      <w:r>
        <w:t xml:space="preserve">самостоятельно или совместно с ГАИ организация и проведение встреч по вопросам безопасной перевозки детей в автомобиле </w:t>
      </w:r>
      <w:r>
        <w:t xml:space="preserve">с трудовыми коллективами, профессиональными сообществами, объединениями граждан, территориальными общественными самоуправлениями, родительскими комитетами, союзами потребителей и покупателями, учреждениями дошкольного, дополнительного, среднего образования</w:t>
      </w:r>
      <w:r>
        <w:t xml:space="preserve"> и др.</w:t>
      </w:r>
      <w:r>
        <w:t xml:space="preserve">;</w:t>
      </w:r>
      <w:r/>
    </w:p>
    <w:p>
      <w:pPr>
        <w:pStyle w:val="927"/>
      </w:pPr>
      <w:r>
        <w:t xml:space="preserve">приглашение других заинтересованных юридических и физических лиц и организаций</w:t>
      </w:r>
      <w:r>
        <w:t xml:space="preserve">.</w:t>
      </w:r>
      <w:r/>
    </w:p>
    <w:p>
      <w:pPr>
        <w:pStyle w:val="931"/>
        <w:rPr>
          <w:b/>
        </w:rPr>
      </w:pPr>
      <w:r>
        <w:rPr>
          <w:b/>
        </w:rPr>
        <w:t xml:space="preserve">О</w:t>
      </w:r>
      <w:r>
        <w:rPr>
          <w:b/>
        </w:rPr>
        <w:t xml:space="preserve">бщероссийская общественная организация поддержки материнства и детства «Совет матерей</w:t>
      </w:r>
      <w:r>
        <w:rPr>
          <w:b/>
        </w:rPr>
        <w:t xml:space="preserve">», </w:t>
      </w:r>
      <w:r>
        <w:rPr>
          <w:b/>
        </w:rPr>
        <w:t xml:space="preserve">Общероссийск</w:t>
      </w:r>
      <w:r>
        <w:rPr>
          <w:b/>
        </w:rPr>
        <w:t xml:space="preserve">ая</w:t>
      </w:r>
      <w:r>
        <w:rPr>
          <w:b/>
        </w:rPr>
        <w:t xml:space="preserve"> общественн</w:t>
      </w:r>
      <w:r>
        <w:rPr>
          <w:b/>
        </w:rPr>
        <w:t xml:space="preserve">ая организация</w:t>
      </w:r>
      <w:r>
        <w:rPr>
          <w:b/>
        </w:rPr>
        <w:t xml:space="preserve"> «Национальная родительская ассоциация социальной поддержки семьи и защиты семейных ценностей»</w:t>
      </w:r>
      <w:r>
        <w:rPr>
          <w:b/>
        </w:rPr>
        <w:t xml:space="preserve">, РДДМ «Движение Первых»</w:t>
      </w:r>
      <w:r>
        <w:rPr>
          <w:b/>
        </w:rPr>
      </w:r>
      <w:r>
        <w:rPr>
          <w:b/>
        </w:rPr>
      </w:r>
    </w:p>
    <w:p>
      <w:pPr>
        <w:pStyle w:val="927"/>
      </w:pPr>
      <w:r>
        <w:t xml:space="preserve">размещение публичного уведомления о присоединении к Меморандуму на своих официальных ресурсах в сети «Интернет» и/или в социальных сетях с ссылкой на страницу акции «Везу детей безопасно!» </w:t>
      </w:r>
      <w:hyperlink r:id="rId16" w:tooltip="https://7ya.er.ru/main-directions/dekret-o-bezopasnosti-rebenka-v-avtomobile" w:history="1">
        <w:r>
          <w:rPr>
            <w:rStyle w:val="938"/>
          </w:rPr>
          <w:t xml:space="preserve">https://7ya.er.ru/main-directions/dekret-o-bezopasnosti-rebenka-v-avtomobile </w:t>
        </w:r>
        <w:r>
          <w:rPr>
            <w:b/>
            <w:bCs/>
          </w:rPr>
          <w:t xml:space="preserve">– до 21 июня 2024 года</w:t>
        </w:r>
        <w:r>
          <w:rPr>
            <w:rStyle w:val="938"/>
            <w:b/>
            <w:bCs/>
          </w:rPr>
        </w:r>
      </w:hyperlink>
      <w:r>
        <w:rPr>
          <w:b/>
          <w:bCs/>
        </w:rPr>
        <w:t xml:space="preserve">;</w:t>
      </w:r>
      <w:r/>
    </w:p>
    <w:p>
      <w:pPr>
        <w:pStyle w:val="927"/>
      </w:pPr>
      <w:r>
        <w:t xml:space="preserve">изготовление и размещение в общественных местах учреждений организации плаката с Декретом</w:t>
      </w:r>
      <w:r>
        <w:t xml:space="preserve"> о безопасности перевозки детей </w:t>
      </w:r>
      <w:r>
        <w:t xml:space="preserve">– </w:t>
      </w:r>
      <w:r>
        <w:rPr>
          <w:b/>
          <w:bCs/>
        </w:rPr>
        <w:t xml:space="preserve">до 28 июня 2024 года</w:t>
      </w:r>
      <w:r>
        <w:rPr>
          <w:b/>
          <w:bCs/>
        </w:rPr>
        <w:t xml:space="preserve">;</w:t>
      </w:r>
      <w:r/>
      <w:r/>
      <w:r>
        <w:t xml:space="preserve">;</w:t>
      </w:r>
      <w:r/>
    </w:p>
    <w:p>
      <w:pPr>
        <w:pStyle w:val="927"/>
      </w:pPr>
      <w:r>
        <w:t xml:space="preserve">организация и проведение мониторинга распространения информации об акции</w:t>
      </w:r>
      <w:r>
        <w:t xml:space="preserve"> один раз в месяц</w:t>
      </w:r>
      <w:r>
        <w:t xml:space="preserve">;</w:t>
      </w:r>
      <w:r/>
    </w:p>
    <w:p>
      <w:pPr>
        <w:pStyle w:val="927"/>
        <w:rPr>
          <w:sz w:val="24"/>
          <w:szCs w:val="24"/>
        </w:rPr>
      </w:pPr>
      <w:r>
        <w:t xml:space="preserve">организация и проведение тематических мероприятий, встреч с экспертами по вопросам безопасной перевозки детей в автомобиле (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в период летних каникул – 2 раза в месяц, в учебное время – 1 раз в неделю, также учитывать тематические мероприятия</w:t>
      </w:r>
      <w:r>
        <w:rPr>
          <w:sz w:val="24"/>
          <w:szCs w:val="24"/>
        </w:rPr>
        <w:t xml:space="preserve">);</w:t>
      </w:r>
      <w:r>
        <w:rPr>
          <w:sz w:val="24"/>
          <w:szCs w:val="24"/>
        </w:rPr>
      </w:r>
    </w:p>
    <w:p>
      <w:pPr>
        <w:pStyle w:val="927"/>
      </w:pPr>
      <w:r>
        <w:t xml:space="preserve">доведение информации об акции в регионы и обеспечение </w:t>
      </w:r>
      <w:r>
        <w:t xml:space="preserve">участия в ней</w:t>
      </w:r>
      <w:r>
        <w:t xml:space="preserve"> региональны</w:t>
      </w:r>
      <w:r>
        <w:t xml:space="preserve">х отделений</w:t>
      </w:r>
      <w:bookmarkStart w:id="0" w:name="_GoBack"/>
      <w:r/>
      <w:bookmarkEnd w:id="0"/>
      <w:r>
        <w:t xml:space="preserve">;</w:t>
      </w:r>
      <w:r/>
    </w:p>
    <w:p>
      <w:pPr>
        <w:pStyle w:val="927"/>
      </w:pPr>
      <w:r>
        <w:t xml:space="preserve">размещение на «Главных страницах» своих информационных ресурсов цифровых версий знаков акции с </w:t>
      </w:r>
      <w:r>
        <w:rPr>
          <w:lang w:val="en-US"/>
        </w:rPr>
        <w:t xml:space="preserve">QR</w:t>
      </w:r>
      <w:r>
        <w:t xml:space="preserve">-</w:t>
      </w:r>
      <w:r>
        <w:t xml:space="preserve">кодом с текстовой информацией об акции и Декрете;</w:t>
      </w:r>
      <w:r/>
    </w:p>
    <w:p>
      <w:pPr>
        <w:pStyle w:val="927"/>
      </w:pPr>
      <w:r>
        <w:t xml:space="preserve">приглашение других заинтересованных юридических и физических лиц и организаций. </w:t>
      </w:r>
      <w:r/>
    </w:p>
    <w:p>
      <w:pPr>
        <w:pStyle w:val="931"/>
        <w:rPr>
          <w:b/>
        </w:rPr>
      </w:pPr>
      <w:r>
        <w:rPr>
          <w:b/>
        </w:rPr>
        <w:t xml:space="preserve">А</w:t>
      </w:r>
      <w:r>
        <w:rPr>
          <w:b/>
        </w:rPr>
        <w:t xml:space="preserve">ссоциации</w:t>
      </w:r>
      <w:r>
        <w:rPr>
          <w:b/>
        </w:rPr>
        <w:t xml:space="preserve"> производителей детских автокресел и колясок </w:t>
      </w:r>
      <w:r>
        <w:rPr>
          <w:b/>
        </w:rPr>
        <w:t xml:space="preserve">(</w:t>
      </w:r>
      <w:r>
        <w:rPr>
          <w:b/>
        </w:rPr>
        <w:t xml:space="preserve">«Приоритет</w:t>
      </w:r>
      <w:r>
        <w:rPr>
          <w:b/>
        </w:rPr>
        <w:t xml:space="preserve">»</w:t>
      </w:r>
      <w:r>
        <w:rPr>
          <w:b/>
        </w:rPr>
        <w:t xml:space="preserve"> и др.)</w:t>
      </w:r>
      <w:r>
        <w:rPr>
          <w:b/>
        </w:rPr>
      </w:r>
      <w:r>
        <w:rPr>
          <w:b/>
        </w:rPr>
      </w:r>
    </w:p>
    <w:p>
      <w:pPr>
        <w:pStyle w:val="927"/>
      </w:pPr>
      <w:r>
        <w:t xml:space="preserve">размещение публичного уведомления о присоединении к Меморандуму на своих официальных ресурсах в сети «Интернет» и/или в социальных сетях с ссылкой на страницу акции «Везу детей безопасно!» </w:t>
      </w:r>
      <w:hyperlink r:id="rId17" w:tooltip="https://7ya.er.ru/main-directions/dekret-o-bezopasnosti-rebenka-v-avtomobile" w:history="1">
        <w:r>
          <w:rPr>
            <w:rStyle w:val="938"/>
          </w:rPr>
          <w:t xml:space="preserve">https://7ya.er.ru/main-directions/dekret-o-bezopasnosti-rebenka-v-avtomobile </w:t>
        </w:r>
        <w:r>
          <w:rPr>
            <w:b/>
            <w:bCs/>
          </w:rPr>
          <w:t xml:space="preserve">– до 21 июня 2024 года</w:t>
        </w:r>
        <w:r>
          <w:rPr>
            <w:rStyle w:val="938"/>
            <w:b/>
            <w:bCs/>
          </w:rPr>
        </w:r>
      </w:hyperlink>
      <w:r>
        <w:rPr>
          <w:b/>
          <w:bCs/>
        </w:rPr>
        <w:t xml:space="preserve">;</w:t>
      </w:r>
      <w:r/>
    </w:p>
    <w:p>
      <w:pPr>
        <w:pStyle w:val="927"/>
      </w:pPr>
      <w:r>
        <w:t xml:space="preserve">изготовление и размещение в</w:t>
      </w:r>
      <w:r>
        <w:t xml:space="preserve"> общественных местах организаций</w:t>
      </w:r>
      <w:r>
        <w:t xml:space="preserve"> плаката с Декретом </w:t>
      </w:r>
      <w:r>
        <w:t xml:space="preserve">о безопасности перевозки детей </w:t>
      </w:r>
      <w:r>
        <w:t xml:space="preserve">– </w:t>
      </w:r>
      <w:r>
        <w:rPr>
          <w:b/>
          <w:bCs/>
        </w:rPr>
        <w:t xml:space="preserve">до 28 июня 2024 года</w:t>
      </w:r>
      <w:r>
        <w:rPr>
          <w:b/>
          <w:bCs/>
        </w:rPr>
        <w:t xml:space="preserve">;</w:t>
      </w:r>
      <w:r/>
      <w:r/>
      <w:r>
        <w:t xml:space="preserve">;</w:t>
      </w:r>
      <w:r/>
    </w:p>
    <w:p>
      <w:pPr>
        <w:pStyle w:val="927"/>
      </w:pPr>
      <w:r>
        <w:t xml:space="preserve">изготовление и распространение</w:t>
      </w:r>
      <w:r>
        <w:t xml:space="preserve"> Декрет</w:t>
      </w:r>
      <w:r>
        <w:t xml:space="preserve">а</w:t>
      </w:r>
      <w:r>
        <w:t xml:space="preserve"> о безопасности перевозки детей</w:t>
      </w:r>
      <w:r>
        <w:t xml:space="preserve"> с детскими удерживающими устройствами</w:t>
      </w:r>
      <w:r>
        <w:t xml:space="preserve">;</w:t>
      </w:r>
      <w:r/>
    </w:p>
    <w:p>
      <w:pPr>
        <w:pStyle w:val="927"/>
      </w:pPr>
      <w:r>
        <w:t xml:space="preserve">размещение на «Главных страницах» своих информационных ресурсов цифровых версий знаков акции с </w:t>
      </w:r>
      <w:r>
        <w:rPr>
          <w:lang w:val="en-US"/>
        </w:rPr>
        <w:t xml:space="preserve">QR</w:t>
      </w:r>
      <w:r>
        <w:t xml:space="preserve">-</w:t>
      </w:r>
      <w:r>
        <w:t xml:space="preserve">кодом с текстовой информацией об акции и Декрете;</w:t>
      </w:r>
      <w:r/>
    </w:p>
    <w:p>
      <w:pPr>
        <w:pStyle w:val="927"/>
      </w:pPr>
      <w:r>
        <w:t xml:space="preserve">приглашение других заинтересованных юридических и физических лиц и организаций. </w:t>
      </w:r>
      <w:r/>
    </w:p>
    <w:p>
      <w:pPr>
        <w:pStyle w:val="931"/>
        <w:rPr>
          <w:b/>
        </w:rPr>
      </w:pPr>
      <w:r>
        <w:rPr>
          <w:b/>
        </w:rPr>
        <w:t xml:space="preserve">Автопроизводители и автосалоны (АО «АВТОВАЗ», АО МАЗ «Москвич», ГК «ГАЗ», ОАО «УАЗ» и др.)</w:t>
      </w:r>
      <w:r>
        <w:rPr>
          <w:b/>
        </w:rPr>
      </w:r>
      <w:r>
        <w:rPr>
          <w:b/>
        </w:rPr>
      </w:r>
    </w:p>
    <w:p>
      <w:pPr>
        <w:pStyle w:val="927"/>
        <w:rPr>
          <w:b/>
          <w:bCs/>
        </w:rPr>
      </w:pPr>
      <w:r>
        <w:t xml:space="preserve">размещение публичного уведомления о присоединении к Меморандуму на своих официальных ресурсах в сети «Интернет» и/или в социальных сетях с ссылкой на страницу акции «Везу детей безопасно!» </w:t>
      </w:r>
      <w:hyperlink r:id="rId18" w:tooltip="https://7ya.er.ru/main-directions/dekret-o-bezopasnosti-rebenka-v-avtomobile" w:history="1">
        <w:r>
          <w:rPr>
            <w:rStyle w:val="938"/>
          </w:rPr>
          <w:t xml:space="preserve">https://7ya.er.ru/main-directions/dekret-o-bezopasnosti-rebenka-v-avtomobile</w:t>
        </w:r>
      </w:hyperlink>
      <w:r>
        <w:t xml:space="preserve"> </w:t>
      </w:r>
      <w:r>
        <w:t xml:space="preserve">– </w:t>
      </w:r>
      <w:r>
        <w:rPr>
          <w:b/>
          <w:bCs/>
        </w:rPr>
        <w:t xml:space="preserve">до 21 июня 2024 года</w:t>
      </w:r>
      <w:r>
        <w:rPr>
          <w:b/>
          <w:bCs/>
        </w:rPr>
        <w:t xml:space="preserve">;</w:t>
      </w:r>
      <w:r>
        <w:rPr>
          <w:b/>
          <w:bCs/>
        </w:rPr>
      </w:r>
    </w:p>
    <w:p>
      <w:pPr>
        <w:pStyle w:val="927"/>
      </w:pPr>
      <w:r>
        <w:t xml:space="preserve">размещение на «Главных страницах» своих информационных ресурсов цифровых версий знаков акции с </w:t>
      </w:r>
      <w:r>
        <w:rPr>
          <w:lang w:val="en-US"/>
        </w:rPr>
        <w:t xml:space="preserve">QR</w:t>
      </w:r>
      <w:r>
        <w:t xml:space="preserve">-</w:t>
      </w:r>
      <w:r>
        <w:t xml:space="preserve">кодом с текстовой информацией об акции и Декрете;</w:t>
      </w:r>
      <w:r/>
    </w:p>
    <w:p>
      <w:pPr>
        <w:pStyle w:val="927"/>
      </w:pPr>
      <w:r>
        <w:t xml:space="preserve">изготовление и размещение в общедоступных местах организации плаката с Декретом </w:t>
      </w:r>
      <w:r>
        <w:t xml:space="preserve">о безопасности перевозки детей </w:t>
      </w:r>
      <w:r>
        <w:t xml:space="preserve">– </w:t>
      </w:r>
      <w:r>
        <w:rPr>
          <w:b/>
          <w:bCs/>
        </w:rPr>
        <w:t xml:space="preserve">до 28 июня 2024 года</w:t>
      </w:r>
      <w:r>
        <w:rPr>
          <w:b/>
          <w:bCs/>
        </w:rPr>
        <w:t xml:space="preserve">;</w:t>
      </w:r>
      <w:r/>
      <w:r/>
      <w:r>
        <w:t xml:space="preserve">;</w:t>
      </w:r>
      <w:r/>
    </w:p>
    <w:p>
      <w:pPr>
        <w:pStyle w:val="927"/>
      </w:pPr>
      <w:r>
        <w:t xml:space="preserve">изготовление и распространение знака и </w:t>
      </w:r>
      <w:r>
        <w:t xml:space="preserve">автовизиток</w:t>
      </w:r>
      <w:r>
        <w:t xml:space="preserve"> акции с </w:t>
      </w:r>
      <w:r>
        <w:rPr>
          <w:lang w:val="en-US"/>
        </w:rPr>
        <w:t xml:space="preserve">QR</w:t>
      </w:r>
      <w:r>
        <w:t xml:space="preserve">-кодом </w:t>
      </w:r>
      <w:r>
        <w:t xml:space="preserve">среди клиентов</w:t>
      </w:r>
      <w:r>
        <w:t xml:space="preserve">. </w:t>
      </w:r>
      <w:r/>
    </w:p>
    <w:p>
      <w:pPr>
        <w:pStyle w:val="931"/>
        <w:rPr>
          <w:b/>
        </w:rPr>
      </w:pPr>
      <w:r>
        <w:rPr>
          <w:b/>
        </w:rPr>
        <w:t xml:space="preserve">Заправочные станции (ПАО «Газпром нефть», ПАО «Лукойл», ПАО «Татнефть», ПАО НК «Роснефть» и др.) </w:t>
      </w:r>
      <w:r>
        <w:rPr>
          <w:b/>
        </w:rPr>
      </w:r>
      <w:r>
        <w:rPr>
          <w:b/>
        </w:rPr>
      </w:r>
    </w:p>
    <w:p>
      <w:pPr>
        <w:pStyle w:val="927"/>
        <w:rPr>
          <w:b/>
          <w:bCs/>
        </w:rPr>
      </w:pPr>
      <w:r>
        <w:t xml:space="preserve">размещение публичного уведомления о присоединении к Меморандуму на своих официальных ресурсах в сети «Интернет» и/или в социальных сетях с ссылкой на страницу акции «Везу детей безопасно!» </w:t>
      </w:r>
      <w:hyperlink r:id="rId19" w:tooltip="https://7ya.er.ru/main-directions/dekret-o-bezopasnosti-rebenka-v-avtomobile" w:history="1">
        <w:r>
          <w:rPr>
            <w:rStyle w:val="938"/>
          </w:rPr>
          <w:t xml:space="preserve">https://7ya.er.ru/main-directions/dekret-o-bezopasnosti-rebenka-v-avtomobile</w:t>
        </w:r>
      </w:hyperlink>
      <w:r>
        <w:t xml:space="preserve"> </w:t>
      </w:r>
      <w:r>
        <w:t xml:space="preserve">– </w:t>
      </w:r>
      <w:r>
        <w:rPr>
          <w:b/>
          <w:bCs/>
        </w:rPr>
        <w:t xml:space="preserve">до 21 июня 2024 года</w:t>
      </w:r>
      <w:r>
        <w:rPr>
          <w:b/>
          <w:bCs/>
        </w:rPr>
        <w:t xml:space="preserve">;</w:t>
      </w:r>
      <w:r>
        <w:rPr>
          <w:b/>
          <w:bCs/>
        </w:rPr>
      </w:r>
    </w:p>
    <w:p>
      <w:pPr>
        <w:pStyle w:val="927"/>
      </w:pPr>
      <w:r>
        <w:t xml:space="preserve">размещение на «Главных страницах» своих информационных ресурсов цифровых версий знаков акции с </w:t>
      </w:r>
      <w:r>
        <w:rPr>
          <w:lang w:val="en-US"/>
        </w:rPr>
        <w:t xml:space="preserve">QR</w:t>
      </w:r>
      <w:r>
        <w:t xml:space="preserve">-</w:t>
      </w:r>
      <w:r>
        <w:t xml:space="preserve">кодом с текстовой информацией об акции и Декрете;</w:t>
      </w:r>
      <w:r/>
    </w:p>
    <w:p>
      <w:pPr>
        <w:pStyle w:val="927"/>
      </w:pPr>
      <w:r>
        <w:t xml:space="preserve">изготовление и размещение в общедоступных местах заправочных станций плаката с Декретом </w:t>
      </w:r>
      <w:r>
        <w:t xml:space="preserve">о безопасности перевозки детей </w:t>
      </w:r>
      <w:r>
        <w:t xml:space="preserve">– </w:t>
      </w:r>
      <w:r>
        <w:rPr>
          <w:b/>
          <w:bCs/>
        </w:rPr>
        <w:t xml:space="preserve">до 28 июня 2024 года</w:t>
      </w:r>
      <w:r>
        <w:rPr>
          <w:b/>
          <w:bCs/>
        </w:rPr>
        <w:t xml:space="preserve">;</w:t>
      </w:r>
      <w:r/>
      <w:r/>
      <w:r>
        <w:t xml:space="preserve">;</w:t>
      </w:r>
      <w:r/>
    </w:p>
    <w:p>
      <w:pPr>
        <w:pStyle w:val="927"/>
      </w:pPr>
      <w:r>
        <w:t xml:space="preserve">изготовление и распространение знака и </w:t>
      </w:r>
      <w:r>
        <w:t xml:space="preserve">автовизиток</w:t>
      </w:r>
      <w:r>
        <w:t xml:space="preserve"> акции с </w:t>
      </w:r>
      <w:r>
        <w:rPr>
          <w:lang w:val="en-US"/>
        </w:rPr>
        <w:t xml:space="preserve">QR</w:t>
      </w:r>
      <w:r>
        <w:t xml:space="preserve">-кодом </w:t>
      </w:r>
      <w:r>
        <w:t xml:space="preserve">среди клиентов</w:t>
      </w:r>
      <w:r>
        <w:t xml:space="preserve">. </w:t>
      </w:r>
      <w:r/>
    </w:p>
    <w:p>
      <w:pPr>
        <w:pStyle w:val="931"/>
        <w:rPr>
          <w:b/>
        </w:rPr>
      </w:pPr>
      <w:r>
        <w:rPr>
          <w:b/>
        </w:rPr>
        <w:t xml:space="preserve">С</w:t>
      </w:r>
      <w:r>
        <w:rPr>
          <w:b/>
        </w:rPr>
        <w:t xml:space="preserve">ервисы-</w:t>
      </w:r>
      <w:r>
        <w:rPr>
          <w:b/>
        </w:rPr>
        <w:t xml:space="preserve">агрегатор</w:t>
      </w:r>
      <w:r>
        <w:rPr>
          <w:b/>
        </w:rPr>
        <w:t xml:space="preserve">ы</w:t>
      </w:r>
      <w:r>
        <w:rPr>
          <w:b/>
        </w:rPr>
        <w:t xml:space="preserve"> такси («</w:t>
      </w:r>
      <w:r>
        <w:rPr>
          <w:b/>
        </w:rPr>
        <w:t xml:space="preserve">Яндекс.Такси</w:t>
      </w:r>
      <w:r>
        <w:rPr>
          <w:b/>
        </w:rPr>
        <w:t xml:space="preserve">», «</w:t>
      </w:r>
      <w:r>
        <w:rPr>
          <w:b/>
        </w:rPr>
        <w:t xml:space="preserve">Таксовичкоф</w:t>
      </w:r>
      <w:r>
        <w:rPr>
          <w:b/>
        </w:rPr>
        <w:t xml:space="preserve">», «Такси-Максим» и др.)</w:t>
      </w:r>
      <w:r>
        <w:rPr>
          <w:b/>
        </w:rPr>
      </w:r>
      <w:r>
        <w:rPr>
          <w:b/>
        </w:rPr>
      </w:r>
    </w:p>
    <w:p>
      <w:pPr>
        <w:pStyle w:val="927"/>
        <w:rPr>
          <w:b/>
          <w:bCs/>
        </w:rPr>
      </w:pPr>
      <w:r>
        <w:t xml:space="preserve">размещение публичного уведомления о присоединении к Меморандуму на своих официальных ресурсах в сети «Интернет» и/или в социальных сетях с ссылкой на страницу акции «Везу детей безопасно!» </w:t>
      </w:r>
      <w:hyperlink r:id="rId20" w:tooltip="https://7ya.er.ru/main-directions/dekret-o-bezopasnosti-rebenka-v-avtomobile" w:history="1">
        <w:r>
          <w:rPr>
            <w:rStyle w:val="938"/>
          </w:rPr>
          <w:t xml:space="preserve">https://7ya.er.ru/main-directions/dekret-o-bezopasnosti-rebenka-v-avtomobile</w:t>
        </w:r>
      </w:hyperlink>
      <w:r>
        <w:t xml:space="preserve"> </w:t>
      </w:r>
      <w:r>
        <w:rPr>
          <w:b/>
          <w:bCs/>
        </w:rPr>
        <w:t xml:space="preserve">– до 21 июня 2024 года</w:t>
      </w:r>
      <w:r>
        <w:rPr>
          <w:b/>
          <w:bCs/>
        </w:rPr>
        <w:t xml:space="preserve">;</w:t>
      </w:r>
      <w:r>
        <w:rPr>
          <w:b/>
          <w:bCs/>
        </w:rPr>
      </w:r>
    </w:p>
    <w:p>
      <w:pPr>
        <w:pStyle w:val="927"/>
      </w:pPr>
      <w:r>
        <w:t xml:space="preserve">размещение на «Главных страницах» своих информационных ресурсов цифровых версий знаков акции с </w:t>
      </w:r>
      <w:r>
        <w:rPr>
          <w:lang w:val="en-US"/>
        </w:rPr>
        <w:t xml:space="preserve">QR</w:t>
      </w:r>
      <w:r>
        <w:t xml:space="preserve">-</w:t>
      </w:r>
      <w:r>
        <w:t xml:space="preserve">кодом с текстовой информацией об акции и Декрете;</w:t>
      </w:r>
      <w:r/>
    </w:p>
    <w:p>
      <w:pPr>
        <w:pStyle w:val="927"/>
      </w:pPr>
      <w:r>
        <w:t xml:space="preserve">изготовление и распространение знака акции с </w:t>
      </w:r>
      <w:r>
        <w:rPr>
          <w:lang w:val="en-US"/>
        </w:rPr>
        <w:t xml:space="preserve">QR</w:t>
      </w:r>
      <w:r>
        <w:t xml:space="preserve">-кодом на подголовниках пассажирских сидений</w:t>
      </w:r>
      <w:r>
        <w:t xml:space="preserve"> и/или внешней стороне стекла заднего вида </w:t>
      </w:r>
      <w:r>
        <w:t xml:space="preserve">– </w:t>
      </w:r>
      <w:r>
        <w:rPr>
          <w:b/>
          <w:bCs/>
        </w:rPr>
        <w:t xml:space="preserve">до 28 июня 2024 года</w:t>
      </w:r>
      <w:r>
        <w:rPr>
          <w:b/>
          <w:bCs/>
        </w:rPr>
        <w:t xml:space="preserve">;</w:t>
      </w:r>
      <w:r/>
      <w:r>
        <w:t xml:space="preserve">.</w:t>
      </w:r>
      <w:r/>
    </w:p>
    <w:p>
      <w:pPr>
        <w:pStyle w:val="931"/>
        <w:rPr>
          <w:b/>
        </w:rPr>
      </w:pPr>
      <w:r>
        <w:rPr>
          <w:b/>
        </w:rPr>
        <w:t xml:space="preserve">Предприниматели и представители бизнеса, осуществляющие продажу детских удерживающих устройств (ГК «Детский мир» и др.)</w:t>
      </w:r>
      <w:r>
        <w:rPr>
          <w:b/>
        </w:rPr>
      </w:r>
      <w:r>
        <w:rPr>
          <w:b/>
        </w:rPr>
      </w:r>
    </w:p>
    <w:p>
      <w:pPr>
        <w:pStyle w:val="927"/>
        <w:rPr>
          <w:b/>
          <w:bCs/>
        </w:rPr>
      </w:pPr>
      <w:r>
        <w:t xml:space="preserve">размещение публичного уведомления о присоединении к Меморандуму на своих официальных ресурсах в сети «Интернет» и/или в социальных сетях с ссылкой на страницу акции «Везу детей безопасно!» </w:t>
      </w:r>
      <w:hyperlink r:id="rId21" w:tooltip="https://7ya.er.ru/main-directions/dekret-o-bezopasnosti-rebenka-v-avtomobile" w:history="1">
        <w:r>
          <w:rPr>
            <w:rStyle w:val="938"/>
          </w:rPr>
          <w:t xml:space="preserve">https://7ya.er.ru/main-directions/dekret-o-bezopasnosti-rebenka-v-avtomobile </w:t>
        </w:r>
        <w:r>
          <w:t xml:space="preserve">–</w:t>
        </w:r>
        <w:r>
          <w:rPr>
            <w:b/>
            <w:bCs/>
          </w:rPr>
          <w:t xml:space="preserve"> до 21 июня 2024 года</w:t>
        </w:r>
        <w:r>
          <w:rPr>
            <w:rStyle w:val="938"/>
            <w:b/>
            <w:bCs/>
          </w:rPr>
        </w:r>
      </w:hyperlink>
      <w:r>
        <w:rPr>
          <w:b/>
          <w:bCs/>
        </w:rPr>
        <w:t xml:space="preserve">;</w:t>
      </w:r>
      <w:r>
        <w:rPr>
          <w:b/>
          <w:bCs/>
        </w:rPr>
      </w:r>
    </w:p>
    <w:p>
      <w:pPr>
        <w:pStyle w:val="927"/>
      </w:pPr>
      <w:r>
        <w:t xml:space="preserve">размещение на «Главных страницах» своих информационных ресурсов цифровых версий знаков акции с </w:t>
      </w:r>
      <w:r>
        <w:rPr>
          <w:lang w:val="en-US"/>
        </w:rPr>
        <w:t xml:space="preserve">QR</w:t>
      </w:r>
      <w:r>
        <w:t xml:space="preserve">-</w:t>
      </w:r>
      <w:r>
        <w:t xml:space="preserve">кодом с текстовой информацией об акции и Декрете;</w:t>
      </w:r>
      <w:r/>
    </w:p>
    <w:p>
      <w:pPr>
        <w:pStyle w:val="927"/>
      </w:pPr>
      <w:r>
        <w:t xml:space="preserve">изготовление и размещение в общедоступных местах магазинов плаката с Декретом </w:t>
      </w:r>
      <w:r>
        <w:t xml:space="preserve">о безопасности перевозки детей</w:t>
      </w:r>
      <w:r>
        <w:t xml:space="preserve"> </w:t>
      </w:r>
      <w:r>
        <w:t xml:space="preserve">– </w:t>
      </w:r>
      <w:r>
        <w:rPr>
          <w:b/>
          <w:bCs/>
        </w:rPr>
        <w:t xml:space="preserve">до 28 июня 2024 года</w:t>
      </w:r>
      <w:r>
        <w:rPr>
          <w:b/>
          <w:bCs/>
        </w:rPr>
        <w:t xml:space="preserve">;</w:t>
      </w:r>
      <w:r/>
      <w:r>
        <w:t xml:space="preserve">;</w:t>
      </w:r>
      <w:r/>
    </w:p>
    <w:p>
      <w:pPr>
        <w:pStyle w:val="927"/>
      </w:pPr>
      <w:r>
        <w:t xml:space="preserve">изготовление и распространение знака и </w:t>
      </w:r>
      <w:r>
        <w:t xml:space="preserve">автовизиток</w:t>
      </w:r>
      <w:r>
        <w:t xml:space="preserve"> акции с </w:t>
      </w:r>
      <w:r>
        <w:rPr>
          <w:lang w:val="en-US"/>
        </w:rPr>
        <w:t xml:space="preserve">QR</w:t>
      </w:r>
      <w:r>
        <w:t xml:space="preserve">-кодом </w:t>
      </w:r>
      <w:r>
        <w:t xml:space="preserve">среди покупателей</w:t>
      </w:r>
      <w:r>
        <w:t xml:space="preserve">. </w:t>
      </w:r>
      <w:r/>
    </w:p>
    <w:p>
      <w:pPr>
        <w:pStyle w:val="931"/>
        <w:rPr>
          <w:b/>
        </w:rPr>
      </w:pPr>
      <w:r>
        <w:rPr>
          <w:b/>
        </w:rPr>
        <w:t xml:space="preserve">Объекты общественного (быстрого) питания, выдающие заказы водителям, не выходя из машины (</w:t>
      </w:r>
      <w:r>
        <w:rPr>
          <w:b/>
        </w:rPr>
        <w:t xml:space="preserve">«Вкусно и точка», </w:t>
      </w:r>
      <w:r>
        <w:rPr>
          <w:b/>
        </w:rPr>
        <w:t xml:space="preserve">автозакусочные</w:t>
      </w:r>
      <w:r>
        <w:rPr>
          <w:b/>
        </w:rPr>
        <w:t xml:space="preserve"> и пр.)</w:t>
      </w:r>
      <w:r>
        <w:rPr>
          <w:b/>
        </w:rPr>
      </w:r>
      <w:r>
        <w:rPr>
          <w:b/>
        </w:rPr>
      </w:r>
    </w:p>
    <w:p>
      <w:pPr>
        <w:pStyle w:val="927"/>
        <w:rPr>
          <w:b/>
          <w:bCs/>
        </w:rPr>
      </w:pPr>
      <w:r>
        <w:t xml:space="preserve">размещение публичного уведомления о присоединении к Меморандуму на своих официальных ресурсах в сети «Интернет» и/или в социальных сетях с ссылкой на страницу акции «Везу детей безопасно!» </w:t>
      </w:r>
      <w:hyperlink r:id="rId22" w:tooltip="https://7ya.er.ru/main-directions/dekret-o-bezopasnosti-rebenka-v-avtomobile" w:history="1">
        <w:r>
          <w:rPr>
            <w:rStyle w:val="938"/>
          </w:rPr>
          <w:t xml:space="preserve">https://7ya.er.ru/main-directions/dekret-o-bezopasnosti-rebenka-v-avtomobile </w:t>
        </w:r>
        <w:r>
          <w:t xml:space="preserve">– </w:t>
        </w:r>
        <w:r>
          <w:rPr>
            <w:b/>
            <w:bCs/>
          </w:rPr>
          <w:t xml:space="preserve">до 21 июня 2024 года</w:t>
        </w:r>
        <w:r>
          <w:rPr>
            <w:rStyle w:val="938"/>
            <w:b/>
            <w:bCs/>
          </w:rPr>
        </w:r>
      </w:hyperlink>
      <w:r>
        <w:rPr>
          <w:b/>
          <w:bCs/>
        </w:rPr>
        <w:t xml:space="preserve">;</w:t>
      </w:r>
      <w:r>
        <w:rPr>
          <w:b/>
          <w:bCs/>
        </w:rPr>
      </w:r>
    </w:p>
    <w:p>
      <w:pPr>
        <w:pStyle w:val="927"/>
      </w:pPr>
      <w:r>
        <w:t xml:space="preserve">размещение на «Главных страницах» своих информационных ресурсов цифровых версий знаков акции с </w:t>
      </w:r>
      <w:r>
        <w:rPr>
          <w:lang w:val="en-US"/>
        </w:rPr>
        <w:t xml:space="preserve">QR</w:t>
      </w:r>
      <w:r>
        <w:t xml:space="preserve">-</w:t>
      </w:r>
      <w:r>
        <w:t xml:space="preserve">кодом с текстовой информацией об акции и Декрете;</w:t>
      </w:r>
      <w:r/>
    </w:p>
    <w:p>
      <w:pPr>
        <w:pStyle w:val="927"/>
      </w:pPr>
      <w:r>
        <w:t xml:space="preserve">изготовление и размещение в общедоступных местах плаката с Декретом </w:t>
      </w:r>
      <w:r>
        <w:t xml:space="preserve">о безопасности перевозки детей </w:t>
      </w:r>
      <w:r>
        <w:t xml:space="preserve">– </w:t>
      </w:r>
      <w:r>
        <w:rPr>
          <w:b/>
          <w:bCs/>
        </w:rPr>
        <w:t xml:space="preserve">до 28 июня 2024 года</w:t>
      </w:r>
      <w:r>
        <w:rPr>
          <w:b/>
          <w:bCs/>
        </w:rPr>
        <w:t xml:space="preserve">;</w:t>
      </w:r>
      <w:r/>
      <w:r/>
      <w:r/>
    </w:p>
    <w:p>
      <w:pPr>
        <w:pStyle w:val="927"/>
      </w:pPr>
      <w:r>
        <w:t xml:space="preserve">изготовление и распространение знака и </w:t>
      </w:r>
      <w:r>
        <w:t xml:space="preserve">автовизиток</w:t>
      </w:r>
      <w:r>
        <w:t xml:space="preserve"> акции с </w:t>
      </w:r>
      <w:r>
        <w:rPr>
          <w:lang w:val="en-US"/>
        </w:rPr>
        <w:t xml:space="preserve">QR</w:t>
      </w:r>
      <w:r>
        <w:t xml:space="preserve">-кодом среди покупателей</w:t>
      </w:r>
      <w:r>
        <w:t xml:space="preserve">.</w:t>
      </w:r>
      <w:r/>
    </w:p>
    <w:sectPr>
      <w:footerReference w:type="default" r:id="rId9"/>
      <w:footnotePr/>
      <w:endnotePr/>
      <w:type w:val="nextPage"/>
      <w:pgSz w:w="11906" w:h="16838" w:orient="portrait"/>
      <w:pgMar w:top="1134" w:right="850" w:bottom="1134" w:left="1701" w:header="708" w:footer="133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Segoe UI">
    <w:panose1 w:val="020B050204050402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1205206471"/>
      <w:docPartObj>
        <w:docPartGallery w:val="Page Numbers (Bottom of Page)"/>
        <w:docPartUnique w:val="true"/>
      </w:docPartObj>
      <w:rPr/>
    </w:sdtPr>
    <w:sdtContent>
      <w:p>
        <w:pPr>
          <w:pStyle w:val="936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7</w:t>
        </w:r>
        <w:r>
          <w:fldChar w:fldCharType="end"/>
        </w:r>
        <w:r/>
      </w:p>
    </w:sdtContent>
  </w:sdt>
  <w:p>
    <w:pPr>
      <w:pStyle w:val="936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bullet"/>
      <w:isLgl w:val="false"/>
      <w:suff w:val="tab"/>
      <w:lvlText w:val=""/>
      <w:lvlJc w:val="left"/>
      <w:pPr>
        <w:ind w:left="1224" w:hanging="504"/>
      </w:pPr>
      <w:rPr>
        <w:rFonts w:hint="default" w:ascii="Symbol" w:hAnsi="Symbol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bullet"/>
      <w:isLgl w:val="false"/>
      <w:suff w:val="tab"/>
      <w:lvlText w:val=""/>
      <w:lvlJc w:val="left"/>
      <w:pPr>
        <w:ind w:left="1224" w:hanging="504"/>
      </w:pPr>
      <w:rPr>
        <w:rFonts w:hint="default" w:ascii="Symbol" w:hAnsi="Symbol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2">
    <w:multiLevelType w:val="hybridMultilevel"/>
    <w:lvl w:ilvl="0">
      <w:start w:val="1"/>
      <w:numFmt w:val="bullet"/>
      <w:pStyle w:val="927"/>
      <w:isLgl w:val="false"/>
      <w:suff w:val="tab"/>
      <w:lvlText w:val=""/>
      <w:lvlJc w:val="left"/>
      <w:pPr>
        <w:ind w:left="1428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8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8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3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5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7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9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1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3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5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7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97" w:hanging="180"/>
      </w:pPr>
    </w:lvl>
  </w:abstractNum>
  <w:abstractNum w:abstractNumId="4">
    <w:multiLevelType w:val="hybridMultilevel"/>
    <w:lvl w:ilvl="0">
      <w:start w:val="1"/>
      <w:numFmt w:val="decimal"/>
      <w:pStyle w:val="928"/>
      <w:isLgl w:val="false"/>
      <w:suff w:val="tab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pStyle w:val="931"/>
      <w:isLgl w:val="false"/>
      <w:suff w:val="tab"/>
      <w:lvlText w:val="%1.%2."/>
      <w:lvlJc w:val="left"/>
      <w:pPr>
        <w:ind w:left="792" w:hanging="432"/>
      </w:pPr>
      <w:rPr>
        <w:b/>
      </w:rPr>
    </w:lvl>
    <w:lvl w:ilvl="2">
      <w:start w:val="1"/>
      <w:numFmt w:val="bullet"/>
      <w:isLgl w:val="false"/>
      <w:suff w:val="tab"/>
      <w:lvlText w:val=""/>
      <w:lvlJc w:val="left"/>
      <w:pPr>
        <w:ind w:left="1224" w:hanging="504"/>
      </w:pPr>
      <w:rPr>
        <w:rFonts w:hint="default" w:ascii="Symbol" w:hAnsi="Symbol"/>
      </w:rPr>
    </w:lvl>
    <w:lvl w:ilvl="3">
      <w:start w:val="1"/>
      <w:numFmt w:val="bullet"/>
      <w:isLgl w:val="false"/>
      <w:suff w:val="tab"/>
      <w:lvlText w:val=""/>
      <w:lvlJc w:val="left"/>
      <w:pPr>
        <w:ind w:left="1728" w:hanging="648"/>
      </w:pPr>
      <w:rPr>
        <w:rFonts w:hint="default" w:ascii="Wingdings" w:hAnsi="Wingdings"/>
      </w:rPr>
    </w:lvl>
    <w:lvl w:ilvl="4">
      <w:start w:val="1"/>
      <w:numFmt w:val="bullet"/>
      <w:isLgl w:val="false"/>
      <w:suff w:val="tab"/>
      <w:lvlText w:val=""/>
      <w:lvlJc w:val="left"/>
      <w:pPr>
        <w:ind w:left="2232" w:hanging="792"/>
      </w:pPr>
      <w:rPr>
        <w:rFonts w:hint="default" w:ascii="Wingdings" w:hAnsi="Wingdings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"/>
      <w:lvlJc w:val="left"/>
      <w:pPr>
        <w:ind w:left="1512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isLgl w:val="false"/>
      <w:suff w:val="tab"/>
      <w:lvlText w:val=""/>
      <w:lvlJc w:val="left"/>
      <w:pPr>
        <w:ind w:left="1440" w:hanging="360"/>
      </w:pPr>
      <w:rPr>
        <w:rFonts w:hint="default" w:ascii="Symbol" w:hAnsi="Symbol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bullet"/>
      <w:isLgl w:val="false"/>
      <w:suff w:val="tab"/>
      <w:lvlText w:val=""/>
      <w:lvlJc w:val="left"/>
      <w:pPr>
        <w:ind w:left="792" w:hanging="432"/>
      </w:pPr>
      <w:rPr>
        <w:rFonts w:hint="default" w:ascii="Symbol" w:hAnsi="Symbol"/>
        <w:b/>
      </w:rPr>
    </w:lvl>
    <w:lvl w:ilvl="2">
      <w:start w:val="1"/>
      <w:numFmt w:val="bullet"/>
      <w:isLgl w:val="false"/>
      <w:suff w:val="tab"/>
      <w:lvlText w:val=""/>
      <w:lvlJc w:val="left"/>
      <w:pPr>
        <w:ind w:left="1224" w:hanging="504"/>
      </w:pPr>
      <w:rPr>
        <w:rFonts w:hint="default" w:ascii="Symbol" w:hAnsi="Symbol"/>
      </w:rPr>
    </w:lvl>
    <w:lvl w:ilvl="3">
      <w:start w:val="1"/>
      <w:numFmt w:val="bullet"/>
      <w:isLgl w:val="false"/>
      <w:suff w:val="tab"/>
      <w:lvlText w:val=""/>
      <w:lvlJc w:val="left"/>
      <w:pPr>
        <w:ind w:left="1728" w:hanging="648"/>
      </w:pPr>
      <w:rPr>
        <w:rFonts w:hint="default" w:ascii="Wingdings" w:hAnsi="Wingdings"/>
      </w:rPr>
    </w:lvl>
    <w:lvl w:ilvl="4">
      <w:start w:val="1"/>
      <w:numFmt w:val="bullet"/>
      <w:isLgl w:val="false"/>
      <w:suff w:val="tab"/>
      <w:lvlText w:val=""/>
      <w:lvlJc w:val="left"/>
      <w:pPr>
        <w:ind w:left="2232" w:hanging="792"/>
      </w:pPr>
      <w:rPr>
        <w:rFonts w:hint="default" w:ascii="Wingdings" w:hAnsi="Wingdings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bullet"/>
      <w:isLgl w:val="false"/>
      <w:suff w:val="tab"/>
      <w:lvlText w:val=""/>
      <w:lvlJc w:val="left"/>
      <w:pPr>
        <w:ind w:left="1224" w:hanging="504"/>
      </w:pPr>
      <w:rPr>
        <w:rFonts w:hint="default" w:ascii="Symbol" w:hAnsi="Symbol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bullet"/>
      <w:isLgl w:val="false"/>
      <w:suff w:val="tab"/>
      <w:lvlText w:val=""/>
      <w:lvlJc w:val="left"/>
      <w:pPr>
        <w:ind w:left="1224" w:hanging="504"/>
      </w:pPr>
      <w:rPr>
        <w:rFonts w:hint="default" w:ascii="Symbol" w:hAnsi="Symbol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"/>
      <w:lvlJc w:val="left"/>
      <w:pPr>
        <w:ind w:left="114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86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8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30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02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74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46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8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900" w:hanging="360"/>
      </w:pPr>
      <w:rPr>
        <w:rFonts w:hint="default" w:ascii="Wingdings" w:hAnsi="Wingdings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"/>
      <w:lvlJc w:val="left"/>
      <w:pPr>
        <w:ind w:left="107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23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39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07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23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39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14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86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8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30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02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74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46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8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900" w:hanging="360"/>
      </w:pPr>
      <w:rPr>
        <w:rFonts w:hint="default" w:ascii="Wingdings" w:hAnsi="Wingdings"/>
      </w:r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bullet"/>
      <w:isLgl w:val="false"/>
      <w:suff w:val="tab"/>
      <w:lvlText w:val=""/>
      <w:lvlJc w:val="left"/>
      <w:pPr>
        <w:ind w:left="1224" w:hanging="504"/>
      </w:pPr>
      <w:rPr>
        <w:rFonts w:hint="default" w:ascii="Symbol" w:hAnsi="Symbol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08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24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40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bullet"/>
      <w:isLgl w:val="false"/>
      <w:suff w:val="tab"/>
      <w:lvlText w:val=""/>
      <w:lvlJc w:val="left"/>
      <w:pPr>
        <w:ind w:left="1224" w:hanging="504"/>
      </w:pPr>
      <w:rPr>
        <w:rFonts w:hint="default" w:ascii="Symbol" w:hAnsi="Symbol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1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8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8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8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bullet"/>
      <w:isLgl w:val="false"/>
      <w:suff w:val="tab"/>
      <w:lvlText w:val=""/>
      <w:lvlJc w:val="left"/>
      <w:pPr>
        <w:ind w:left="1224" w:hanging="504"/>
      </w:pPr>
      <w:rPr>
        <w:rFonts w:hint="default" w:ascii="Symbol" w:hAnsi="Symbol"/>
      </w:rPr>
    </w:lvl>
    <w:lvl w:ilvl="3">
      <w:start w:val="1"/>
      <w:numFmt w:val="bullet"/>
      <w:isLgl w:val="false"/>
      <w:suff w:val="tab"/>
      <w:lvlText w:val=""/>
      <w:lvlJc w:val="left"/>
      <w:pPr>
        <w:ind w:left="1728" w:hanging="648"/>
      </w:pPr>
      <w:rPr>
        <w:rFonts w:hint="default" w:ascii="Wingdings" w:hAnsi="Wingdings"/>
      </w:rPr>
    </w:lvl>
    <w:lvl w:ilvl="4">
      <w:start w:val="1"/>
      <w:numFmt w:val="bullet"/>
      <w:isLgl w:val="false"/>
      <w:suff w:val="tab"/>
      <w:lvlText w:val=""/>
      <w:lvlJc w:val="left"/>
      <w:pPr>
        <w:ind w:left="2232" w:hanging="792"/>
      </w:pPr>
      <w:rPr>
        <w:rFonts w:hint="default" w:ascii="Wingdings" w:hAnsi="Wingdings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bullet"/>
      <w:isLgl w:val="false"/>
      <w:suff w:val="tab"/>
      <w:lvlText w:val=""/>
      <w:lvlJc w:val="left"/>
      <w:pPr>
        <w:ind w:left="1224" w:hanging="504"/>
      </w:pPr>
      <w:rPr>
        <w:rFonts w:hint="default" w:ascii="Symbol" w:hAnsi="Symbol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23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8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8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8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24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8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8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8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25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8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8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8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26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8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8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8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27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8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8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8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28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8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8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8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29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8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8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8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3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8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8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8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31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8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8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8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32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8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8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8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33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8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8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8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34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8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8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8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35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8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8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8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36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8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8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8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37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8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8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8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38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8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8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8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39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8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8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8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4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8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8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8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41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8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8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8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42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8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8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8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43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8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8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8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44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8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8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8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45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8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8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8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46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8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8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8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47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8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8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8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num w:numId="1">
    <w:abstractNumId w:val="4"/>
  </w:num>
  <w:num w:numId="2">
    <w:abstractNumId w:val="8"/>
  </w:num>
  <w:num w:numId="3">
    <w:abstractNumId w:val="6"/>
  </w:num>
  <w:num w:numId="4">
    <w:abstractNumId w:val="7"/>
  </w:num>
  <w:num w:numId="5">
    <w:abstractNumId w:val="17"/>
  </w:num>
  <w:num w:numId="6">
    <w:abstractNumId w:val="15"/>
  </w:num>
  <w:num w:numId="7">
    <w:abstractNumId w:val="21"/>
  </w:num>
  <w:num w:numId="8">
    <w:abstractNumId w:val="1"/>
  </w:num>
  <w:num w:numId="9">
    <w:abstractNumId w:val="0"/>
  </w:num>
  <w:num w:numId="10">
    <w:abstractNumId w:val="10"/>
  </w:num>
  <w:num w:numId="11">
    <w:abstractNumId w:val="20"/>
  </w:num>
  <w:num w:numId="12">
    <w:abstractNumId w:val="16"/>
  </w:num>
  <w:num w:numId="13">
    <w:abstractNumId w:val="22"/>
  </w:num>
  <w:num w:numId="14">
    <w:abstractNumId w:val="18"/>
  </w:num>
  <w:num w:numId="15">
    <w:abstractNumId w:val="11"/>
  </w:num>
  <w:num w:numId="16">
    <w:abstractNumId w:val="19"/>
  </w:num>
  <w:num w:numId="17">
    <w:abstractNumId w:val="9"/>
  </w:num>
  <w:num w:numId="18">
    <w:abstractNumId w:val="2"/>
  </w:num>
  <w:num w:numId="19">
    <w:abstractNumId w:val="14"/>
  </w:num>
  <w:num w:numId="20">
    <w:abstractNumId w:val="5"/>
  </w:num>
  <w:num w:numId="21">
    <w:abstractNumId w:val="12"/>
  </w:num>
  <w:num w:numId="22">
    <w:abstractNumId w:val="13"/>
  </w:num>
  <w:num w:numId="23">
    <w:abstractNumId w:val="3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  <w:num w:numId="43">
    <w:abstractNumId w:val="42"/>
  </w:num>
  <w:num w:numId="44">
    <w:abstractNumId w:val="43"/>
  </w:num>
  <w:num w:numId="45">
    <w:abstractNumId w:val="44"/>
  </w:num>
  <w:num w:numId="46">
    <w:abstractNumId w:val="45"/>
  </w:num>
  <w:num w:numId="47">
    <w:abstractNumId w:val="46"/>
  </w:num>
  <w:num w:numId="48">
    <w:abstractNumId w:val="4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46">
    <w:name w:val="Heading 1"/>
    <w:basedOn w:val="920"/>
    <w:next w:val="920"/>
    <w:link w:val="74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47">
    <w:name w:val="Heading 1 Char"/>
    <w:basedOn w:val="921"/>
    <w:link w:val="746"/>
    <w:uiPriority w:val="9"/>
    <w:rPr>
      <w:rFonts w:ascii="Arial" w:hAnsi="Arial" w:eastAsia="Arial" w:cs="Arial"/>
      <w:sz w:val="40"/>
      <w:szCs w:val="40"/>
    </w:rPr>
  </w:style>
  <w:style w:type="paragraph" w:styleId="748">
    <w:name w:val="Heading 2"/>
    <w:basedOn w:val="920"/>
    <w:next w:val="920"/>
    <w:link w:val="74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49">
    <w:name w:val="Heading 2 Char"/>
    <w:basedOn w:val="921"/>
    <w:link w:val="748"/>
    <w:uiPriority w:val="9"/>
    <w:rPr>
      <w:rFonts w:ascii="Arial" w:hAnsi="Arial" w:eastAsia="Arial" w:cs="Arial"/>
      <w:sz w:val="34"/>
    </w:rPr>
  </w:style>
  <w:style w:type="paragraph" w:styleId="750">
    <w:name w:val="Heading 3"/>
    <w:basedOn w:val="920"/>
    <w:next w:val="920"/>
    <w:link w:val="75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51">
    <w:name w:val="Heading 3 Char"/>
    <w:basedOn w:val="921"/>
    <w:link w:val="750"/>
    <w:uiPriority w:val="9"/>
    <w:rPr>
      <w:rFonts w:ascii="Arial" w:hAnsi="Arial" w:eastAsia="Arial" w:cs="Arial"/>
      <w:sz w:val="30"/>
      <w:szCs w:val="30"/>
    </w:rPr>
  </w:style>
  <w:style w:type="paragraph" w:styleId="752">
    <w:name w:val="Heading 4"/>
    <w:basedOn w:val="920"/>
    <w:next w:val="920"/>
    <w:link w:val="75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53">
    <w:name w:val="Heading 4 Char"/>
    <w:basedOn w:val="921"/>
    <w:link w:val="752"/>
    <w:uiPriority w:val="9"/>
    <w:rPr>
      <w:rFonts w:ascii="Arial" w:hAnsi="Arial" w:eastAsia="Arial" w:cs="Arial"/>
      <w:b/>
      <w:bCs/>
      <w:sz w:val="26"/>
      <w:szCs w:val="26"/>
    </w:rPr>
  </w:style>
  <w:style w:type="paragraph" w:styleId="754">
    <w:name w:val="Heading 5"/>
    <w:basedOn w:val="920"/>
    <w:next w:val="920"/>
    <w:link w:val="75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55">
    <w:name w:val="Heading 5 Char"/>
    <w:basedOn w:val="921"/>
    <w:link w:val="754"/>
    <w:uiPriority w:val="9"/>
    <w:rPr>
      <w:rFonts w:ascii="Arial" w:hAnsi="Arial" w:eastAsia="Arial" w:cs="Arial"/>
      <w:b/>
      <w:bCs/>
      <w:sz w:val="24"/>
      <w:szCs w:val="24"/>
    </w:rPr>
  </w:style>
  <w:style w:type="paragraph" w:styleId="756">
    <w:name w:val="Heading 6"/>
    <w:basedOn w:val="920"/>
    <w:next w:val="920"/>
    <w:link w:val="75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57">
    <w:name w:val="Heading 6 Char"/>
    <w:basedOn w:val="921"/>
    <w:link w:val="756"/>
    <w:uiPriority w:val="9"/>
    <w:rPr>
      <w:rFonts w:ascii="Arial" w:hAnsi="Arial" w:eastAsia="Arial" w:cs="Arial"/>
      <w:b/>
      <w:bCs/>
      <w:sz w:val="22"/>
      <w:szCs w:val="22"/>
    </w:rPr>
  </w:style>
  <w:style w:type="paragraph" w:styleId="758">
    <w:name w:val="Heading 7"/>
    <w:basedOn w:val="920"/>
    <w:next w:val="920"/>
    <w:link w:val="75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59">
    <w:name w:val="Heading 7 Char"/>
    <w:basedOn w:val="921"/>
    <w:link w:val="75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60">
    <w:name w:val="Heading 8"/>
    <w:basedOn w:val="920"/>
    <w:next w:val="920"/>
    <w:link w:val="76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61">
    <w:name w:val="Heading 8 Char"/>
    <w:basedOn w:val="921"/>
    <w:link w:val="760"/>
    <w:uiPriority w:val="9"/>
    <w:rPr>
      <w:rFonts w:ascii="Arial" w:hAnsi="Arial" w:eastAsia="Arial" w:cs="Arial"/>
      <w:i/>
      <w:iCs/>
      <w:sz w:val="22"/>
      <w:szCs w:val="22"/>
    </w:rPr>
  </w:style>
  <w:style w:type="paragraph" w:styleId="762">
    <w:name w:val="Heading 9"/>
    <w:basedOn w:val="920"/>
    <w:next w:val="920"/>
    <w:link w:val="76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63">
    <w:name w:val="Heading 9 Char"/>
    <w:basedOn w:val="921"/>
    <w:link w:val="762"/>
    <w:uiPriority w:val="9"/>
    <w:rPr>
      <w:rFonts w:ascii="Arial" w:hAnsi="Arial" w:eastAsia="Arial" w:cs="Arial"/>
      <w:i/>
      <w:iCs/>
      <w:sz w:val="21"/>
      <w:szCs w:val="21"/>
    </w:rPr>
  </w:style>
  <w:style w:type="paragraph" w:styleId="764">
    <w:name w:val="No Spacing"/>
    <w:uiPriority w:val="1"/>
    <w:qFormat/>
    <w:pPr>
      <w:spacing w:before="0" w:after="0" w:line="240" w:lineRule="auto"/>
    </w:pPr>
  </w:style>
  <w:style w:type="paragraph" w:styleId="765">
    <w:name w:val="Title"/>
    <w:basedOn w:val="920"/>
    <w:next w:val="920"/>
    <w:link w:val="76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66">
    <w:name w:val="Title Char"/>
    <w:basedOn w:val="921"/>
    <w:link w:val="765"/>
    <w:uiPriority w:val="10"/>
    <w:rPr>
      <w:sz w:val="48"/>
      <w:szCs w:val="48"/>
    </w:rPr>
  </w:style>
  <w:style w:type="paragraph" w:styleId="767">
    <w:name w:val="Subtitle"/>
    <w:basedOn w:val="920"/>
    <w:next w:val="920"/>
    <w:link w:val="768"/>
    <w:uiPriority w:val="11"/>
    <w:qFormat/>
    <w:pPr>
      <w:spacing w:before="200" w:after="200"/>
    </w:pPr>
    <w:rPr>
      <w:sz w:val="24"/>
      <w:szCs w:val="24"/>
    </w:rPr>
  </w:style>
  <w:style w:type="character" w:styleId="768">
    <w:name w:val="Subtitle Char"/>
    <w:basedOn w:val="921"/>
    <w:link w:val="767"/>
    <w:uiPriority w:val="11"/>
    <w:rPr>
      <w:sz w:val="24"/>
      <w:szCs w:val="24"/>
    </w:rPr>
  </w:style>
  <w:style w:type="paragraph" w:styleId="769">
    <w:name w:val="Quote"/>
    <w:basedOn w:val="920"/>
    <w:next w:val="920"/>
    <w:link w:val="770"/>
    <w:uiPriority w:val="29"/>
    <w:qFormat/>
    <w:pPr>
      <w:ind w:left="720" w:right="720"/>
    </w:pPr>
    <w:rPr>
      <w:i/>
    </w:rPr>
  </w:style>
  <w:style w:type="character" w:styleId="770">
    <w:name w:val="Quote Char"/>
    <w:link w:val="769"/>
    <w:uiPriority w:val="29"/>
    <w:rPr>
      <w:i/>
    </w:rPr>
  </w:style>
  <w:style w:type="paragraph" w:styleId="771">
    <w:name w:val="Intense Quote"/>
    <w:basedOn w:val="920"/>
    <w:next w:val="920"/>
    <w:link w:val="77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72">
    <w:name w:val="Intense Quote Char"/>
    <w:link w:val="771"/>
    <w:uiPriority w:val="30"/>
    <w:rPr>
      <w:i/>
    </w:rPr>
  </w:style>
  <w:style w:type="character" w:styleId="773">
    <w:name w:val="Header Char"/>
    <w:basedOn w:val="921"/>
    <w:link w:val="934"/>
    <w:uiPriority w:val="99"/>
  </w:style>
  <w:style w:type="character" w:styleId="774">
    <w:name w:val="Footer Char"/>
    <w:basedOn w:val="921"/>
    <w:link w:val="936"/>
    <w:uiPriority w:val="99"/>
  </w:style>
  <w:style w:type="paragraph" w:styleId="775">
    <w:name w:val="Caption"/>
    <w:basedOn w:val="920"/>
    <w:next w:val="92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76">
    <w:name w:val="Caption Char"/>
    <w:basedOn w:val="775"/>
    <w:link w:val="936"/>
    <w:uiPriority w:val="99"/>
  </w:style>
  <w:style w:type="table" w:styleId="777">
    <w:name w:val="Table Grid"/>
    <w:basedOn w:val="92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78">
    <w:name w:val="Table Grid Light"/>
    <w:basedOn w:val="92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79">
    <w:name w:val="Plain Table 1"/>
    <w:basedOn w:val="92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80">
    <w:name w:val="Plain Table 2"/>
    <w:basedOn w:val="92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81">
    <w:name w:val="Plain Table 3"/>
    <w:basedOn w:val="9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82">
    <w:name w:val="Plain Table 4"/>
    <w:basedOn w:val="9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Plain Table 5"/>
    <w:basedOn w:val="9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84">
    <w:name w:val="Grid Table 1 Light"/>
    <w:basedOn w:val="9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Grid Table 1 Light - Accent 1"/>
    <w:basedOn w:val="9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Grid Table 1 Light - Accent 2"/>
    <w:basedOn w:val="9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Grid Table 1 Light - Accent 3"/>
    <w:basedOn w:val="9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Grid Table 1 Light - Accent 4"/>
    <w:basedOn w:val="9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Grid Table 1 Light - Accent 5"/>
    <w:basedOn w:val="9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Grid Table 1 Light - Accent 6"/>
    <w:basedOn w:val="9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Grid Table 2"/>
    <w:basedOn w:val="9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Grid Table 2 - Accent 1"/>
    <w:basedOn w:val="9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Grid Table 2 - Accent 2"/>
    <w:basedOn w:val="9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Grid Table 2 - Accent 3"/>
    <w:basedOn w:val="9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Grid Table 2 - Accent 4"/>
    <w:basedOn w:val="9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Grid Table 2 - Accent 5"/>
    <w:basedOn w:val="9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Grid Table 2 - Accent 6"/>
    <w:basedOn w:val="9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Grid Table 3"/>
    <w:basedOn w:val="9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Grid Table 3 - Accent 1"/>
    <w:basedOn w:val="9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Grid Table 3 - Accent 2"/>
    <w:basedOn w:val="9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Grid Table 3 - Accent 3"/>
    <w:basedOn w:val="9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Grid Table 3 - Accent 4"/>
    <w:basedOn w:val="9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Grid Table 3 - Accent 5"/>
    <w:basedOn w:val="9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Grid Table 3 - Accent 6"/>
    <w:basedOn w:val="9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Grid Table 4"/>
    <w:basedOn w:val="9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06">
    <w:name w:val="Grid Table 4 - Accent 1"/>
    <w:basedOn w:val="9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07">
    <w:name w:val="Grid Table 4 - Accent 2"/>
    <w:basedOn w:val="9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8">
    <w:name w:val="Grid Table 4 - Accent 3"/>
    <w:basedOn w:val="9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9">
    <w:name w:val="Grid Table 4 - Accent 4"/>
    <w:basedOn w:val="9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0">
    <w:name w:val="Grid Table 4 - Accent 5"/>
    <w:basedOn w:val="9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1">
    <w:name w:val="Grid Table 4 - Accent 6"/>
    <w:basedOn w:val="9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12">
    <w:name w:val="Grid Table 5 Dark"/>
    <w:basedOn w:val="9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13">
    <w:name w:val="Grid Table 5 Dark- Accent 1"/>
    <w:basedOn w:val="9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14">
    <w:name w:val="Grid Table 5 Dark - Accent 2"/>
    <w:basedOn w:val="9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15">
    <w:name w:val="Grid Table 5 Dark - Accent 3"/>
    <w:basedOn w:val="9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16">
    <w:name w:val="Grid Table 5 Dark- Accent 4"/>
    <w:basedOn w:val="9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17">
    <w:name w:val="Grid Table 5 Dark - Accent 5"/>
    <w:basedOn w:val="9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18">
    <w:name w:val="Grid Table 5 Dark - Accent 6"/>
    <w:basedOn w:val="9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19">
    <w:name w:val="Grid Table 6 Colorful"/>
    <w:basedOn w:val="9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20">
    <w:name w:val="Grid Table 6 Colorful - Accent 1"/>
    <w:basedOn w:val="9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21">
    <w:name w:val="Grid Table 6 Colorful - Accent 2"/>
    <w:basedOn w:val="9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22">
    <w:name w:val="Grid Table 6 Colorful - Accent 3"/>
    <w:basedOn w:val="9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23">
    <w:name w:val="Grid Table 6 Colorful - Accent 4"/>
    <w:basedOn w:val="9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24">
    <w:name w:val="Grid Table 6 Colorful - Accent 5"/>
    <w:basedOn w:val="9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25">
    <w:name w:val="Grid Table 6 Colorful - Accent 6"/>
    <w:basedOn w:val="9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26">
    <w:name w:val="Grid Table 7 Colorful"/>
    <w:basedOn w:val="9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>
    <w:name w:val="Grid Table 7 Colorful - Accent 1"/>
    <w:basedOn w:val="9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>
    <w:name w:val="Grid Table 7 Colorful - Accent 2"/>
    <w:basedOn w:val="9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>
    <w:name w:val="Grid Table 7 Colorful - Accent 3"/>
    <w:basedOn w:val="9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>
    <w:name w:val="Grid Table 7 Colorful - Accent 4"/>
    <w:basedOn w:val="9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>
    <w:name w:val="Grid Table 7 Colorful - Accent 5"/>
    <w:basedOn w:val="9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>
    <w:name w:val="Grid Table 7 Colorful - Accent 6"/>
    <w:basedOn w:val="9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>
    <w:name w:val="List Table 1 Light"/>
    <w:basedOn w:val="9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>
    <w:name w:val="List Table 1 Light - Accent 1"/>
    <w:basedOn w:val="9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>
    <w:name w:val="List Table 1 Light - Accent 2"/>
    <w:basedOn w:val="9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>
    <w:name w:val="List Table 1 Light - Accent 3"/>
    <w:basedOn w:val="9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>
    <w:name w:val="List Table 1 Light - Accent 4"/>
    <w:basedOn w:val="9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>
    <w:name w:val="List Table 1 Light - Accent 5"/>
    <w:basedOn w:val="9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>
    <w:name w:val="List Table 1 Light - Accent 6"/>
    <w:basedOn w:val="9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>
    <w:name w:val="List Table 2"/>
    <w:basedOn w:val="9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41">
    <w:name w:val="List Table 2 - Accent 1"/>
    <w:basedOn w:val="9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42">
    <w:name w:val="List Table 2 - Accent 2"/>
    <w:basedOn w:val="9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43">
    <w:name w:val="List Table 2 - Accent 3"/>
    <w:basedOn w:val="9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44">
    <w:name w:val="List Table 2 - Accent 4"/>
    <w:basedOn w:val="9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45">
    <w:name w:val="List Table 2 - Accent 5"/>
    <w:basedOn w:val="9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46">
    <w:name w:val="List Table 2 - Accent 6"/>
    <w:basedOn w:val="9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47">
    <w:name w:val="List Table 3"/>
    <w:basedOn w:val="9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8">
    <w:name w:val="List Table 3 - Accent 1"/>
    <w:basedOn w:val="9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9">
    <w:name w:val="List Table 3 - Accent 2"/>
    <w:basedOn w:val="9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0">
    <w:name w:val="List Table 3 - Accent 3"/>
    <w:basedOn w:val="9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1">
    <w:name w:val="List Table 3 - Accent 4"/>
    <w:basedOn w:val="9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2">
    <w:name w:val="List Table 3 - Accent 5"/>
    <w:basedOn w:val="9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3">
    <w:name w:val="List Table 3 - Accent 6"/>
    <w:basedOn w:val="9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4">
    <w:name w:val="List Table 4"/>
    <w:basedOn w:val="9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5">
    <w:name w:val="List Table 4 - Accent 1"/>
    <w:basedOn w:val="9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6">
    <w:name w:val="List Table 4 - Accent 2"/>
    <w:basedOn w:val="9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7">
    <w:name w:val="List Table 4 - Accent 3"/>
    <w:basedOn w:val="9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8">
    <w:name w:val="List Table 4 - Accent 4"/>
    <w:basedOn w:val="9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9">
    <w:name w:val="List Table 4 - Accent 5"/>
    <w:basedOn w:val="9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0">
    <w:name w:val="List Table 4 - Accent 6"/>
    <w:basedOn w:val="9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1">
    <w:name w:val="List Table 5 Dark"/>
    <w:basedOn w:val="9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2">
    <w:name w:val="List Table 5 Dark - Accent 1"/>
    <w:basedOn w:val="9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3">
    <w:name w:val="List Table 5 Dark - Accent 2"/>
    <w:basedOn w:val="9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4">
    <w:name w:val="List Table 5 Dark - Accent 3"/>
    <w:basedOn w:val="9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5">
    <w:name w:val="List Table 5 Dark - Accent 4"/>
    <w:basedOn w:val="9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6">
    <w:name w:val="List Table 5 Dark - Accent 5"/>
    <w:basedOn w:val="9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7">
    <w:name w:val="List Table 5 Dark - Accent 6"/>
    <w:basedOn w:val="9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8">
    <w:name w:val="List Table 6 Colorful"/>
    <w:basedOn w:val="9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69">
    <w:name w:val="List Table 6 Colorful - Accent 1"/>
    <w:basedOn w:val="9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70">
    <w:name w:val="List Table 6 Colorful - Accent 2"/>
    <w:basedOn w:val="9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71">
    <w:name w:val="List Table 6 Colorful - Accent 3"/>
    <w:basedOn w:val="9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72">
    <w:name w:val="List Table 6 Colorful - Accent 4"/>
    <w:basedOn w:val="9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73">
    <w:name w:val="List Table 6 Colorful - Accent 5"/>
    <w:basedOn w:val="9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74">
    <w:name w:val="List Table 6 Colorful - Accent 6"/>
    <w:basedOn w:val="9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75">
    <w:name w:val="List Table 7 Colorful"/>
    <w:basedOn w:val="9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76">
    <w:name w:val="List Table 7 Colorful - Accent 1"/>
    <w:basedOn w:val="9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77">
    <w:name w:val="List Table 7 Colorful - Accent 2"/>
    <w:basedOn w:val="9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78">
    <w:name w:val="List Table 7 Colorful - Accent 3"/>
    <w:basedOn w:val="9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79">
    <w:name w:val="List Table 7 Colorful - Accent 4"/>
    <w:basedOn w:val="9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80">
    <w:name w:val="List Table 7 Colorful - Accent 5"/>
    <w:basedOn w:val="9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81">
    <w:name w:val="List Table 7 Colorful - Accent 6"/>
    <w:basedOn w:val="9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82">
    <w:name w:val="Lined - Accent"/>
    <w:basedOn w:val="9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83">
    <w:name w:val="Lined - Accent 1"/>
    <w:basedOn w:val="9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84">
    <w:name w:val="Lined - Accent 2"/>
    <w:basedOn w:val="9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85">
    <w:name w:val="Lined - Accent 3"/>
    <w:basedOn w:val="9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86">
    <w:name w:val="Lined - Accent 4"/>
    <w:basedOn w:val="9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87">
    <w:name w:val="Lined - Accent 5"/>
    <w:basedOn w:val="9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88">
    <w:name w:val="Lined - Accent 6"/>
    <w:basedOn w:val="9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89">
    <w:name w:val="Bordered &amp; Lined - Accent"/>
    <w:basedOn w:val="9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90">
    <w:name w:val="Bordered &amp; Lined - Accent 1"/>
    <w:basedOn w:val="9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91">
    <w:name w:val="Bordered &amp; Lined - Accent 2"/>
    <w:basedOn w:val="9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92">
    <w:name w:val="Bordered &amp; Lined - Accent 3"/>
    <w:basedOn w:val="9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93">
    <w:name w:val="Bordered &amp; Lined - Accent 4"/>
    <w:basedOn w:val="9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94">
    <w:name w:val="Bordered &amp; Lined - Accent 5"/>
    <w:basedOn w:val="9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95">
    <w:name w:val="Bordered &amp; Lined - Accent 6"/>
    <w:basedOn w:val="9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96">
    <w:name w:val="Bordered"/>
    <w:basedOn w:val="9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97">
    <w:name w:val="Bordered - Accent 1"/>
    <w:basedOn w:val="9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98">
    <w:name w:val="Bordered - Accent 2"/>
    <w:basedOn w:val="9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99">
    <w:name w:val="Bordered - Accent 3"/>
    <w:basedOn w:val="9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00">
    <w:name w:val="Bordered - Accent 4"/>
    <w:basedOn w:val="9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01">
    <w:name w:val="Bordered - Accent 5"/>
    <w:basedOn w:val="9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02">
    <w:name w:val="Bordered - Accent 6"/>
    <w:basedOn w:val="9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903">
    <w:name w:val="footnote text"/>
    <w:basedOn w:val="920"/>
    <w:link w:val="904"/>
    <w:uiPriority w:val="99"/>
    <w:semiHidden/>
    <w:unhideWhenUsed/>
    <w:pPr>
      <w:spacing w:after="40" w:line="240" w:lineRule="auto"/>
    </w:pPr>
    <w:rPr>
      <w:sz w:val="18"/>
    </w:rPr>
  </w:style>
  <w:style w:type="character" w:styleId="904">
    <w:name w:val="Footnote Text Char"/>
    <w:link w:val="903"/>
    <w:uiPriority w:val="99"/>
    <w:rPr>
      <w:sz w:val="18"/>
    </w:rPr>
  </w:style>
  <w:style w:type="character" w:styleId="905">
    <w:name w:val="footnote reference"/>
    <w:basedOn w:val="921"/>
    <w:uiPriority w:val="99"/>
    <w:unhideWhenUsed/>
    <w:rPr>
      <w:vertAlign w:val="superscript"/>
    </w:rPr>
  </w:style>
  <w:style w:type="paragraph" w:styleId="906">
    <w:name w:val="endnote text"/>
    <w:basedOn w:val="920"/>
    <w:link w:val="907"/>
    <w:uiPriority w:val="99"/>
    <w:semiHidden/>
    <w:unhideWhenUsed/>
    <w:pPr>
      <w:spacing w:after="0" w:line="240" w:lineRule="auto"/>
    </w:pPr>
    <w:rPr>
      <w:sz w:val="20"/>
    </w:rPr>
  </w:style>
  <w:style w:type="character" w:styleId="907">
    <w:name w:val="Endnote Text Char"/>
    <w:link w:val="906"/>
    <w:uiPriority w:val="99"/>
    <w:rPr>
      <w:sz w:val="20"/>
    </w:rPr>
  </w:style>
  <w:style w:type="character" w:styleId="908">
    <w:name w:val="endnote reference"/>
    <w:basedOn w:val="921"/>
    <w:uiPriority w:val="99"/>
    <w:semiHidden/>
    <w:unhideWhenUsed/>
    <w:rPr>
      <w:vertAlign w:val="superscript"/>
    </w:rPr>
  </w:style>
  <w:style w:type="paragraph" w:styleId="909">
    <w:name w:val="toc 1"/>
    <w:basedOn w:val="920"/>
    <w:next w:val="920"/>
    <w:uiPriority w:val="39"/>
    <w:unhideWhenUsed/>
    <w:pPr>
      <w:ind w:left="0" w:right="0" w:firstLine="0"/>
      <w:spacing w:after="57"/>
    </w:pPr>
  </w:style>
  <w:style w:type="paragraph" w:styleId="910">
    <w:name w:val="toc 2"/>
    <w:basedOn w:val="920"/>
    <w:next w:val="920"/>
    <w:uiPriority w:val="39"/>
    <w:unhideWhenUsed/>
    <w:pPr>
      <w:ind w:left="283" w:right="0" w:firstLine="0"/>
      <w:spacing w:after="57"/>
    </w:pPr>
  </w:style>
  <w:style w:type="paragraph" w:styleId="911">
    <w:name w:val="toc 3"/>
    <w:basedOn w:val="920"/>
    <w:next w:val="920"/>
    <w:uiPriority w:val="39"/>
    <w:unhideWhenUsed/>
    <w:pPr>
      <w:ind w:left="567" w:right="0" w:firstLine="0"/>
      <w:spacing w:after="57"/>
    </w:pPr>
  </w:style>
  <w:style w:type="paragraph" w:styleId="912">
    <w:name w:val="toc 4"/>
    <w:basedOn w:val="920"/>
    <w:next w:val="920"/>
    <w:uiPriority w:val="39"/>
    <w:unhideWhenUsed/>
    <w:pPr>
      <w:ind w:left="850" w:right="0" w:firstLine="0"/>
      <w:spacing w:after="57"/>
    </w:pPr>
  </w:style>
  <w:style w:type="paragraph" w:styleId="913">
    <w:name w:val="toc 5"/>
    <w:basedOn w:val="920"/>
    <w:next w:val="920"/>
    <w:uiPriority w:val="39"/>
    <w:unhideWhenUsed/>
    <w:pPr>
      <w:ind w:left="1134" w:right="0" w:firstLine="0"/>
      <w:spacing w:after="57"/>
    </w:pPr>
  </w:style>
  <w:style w:type="paragraph" w:styleId="914">
    <w:name w:val="toc 6"/>
    <w:basedOn w:val="920"/>
    <w:next w:val="920"/>
    <w:uiPriority w:val="39"/>
    <w:unhideWhenUsed/>
    <w:pPr>
      <w:ind w:left="1417" w:right="0" w:firstLine="0"/>
      <w:spacing w:after="57"/>
    </w:pPr>
  </w:style>
  <w:style w:type="paragraph" w:styleId="915">
    <w:name w:val="toc 7"/>
    <w:basedOn w:val="920"/>
    <w:next w:val="920"/>
    <w:uiPriority w:val="39"/>
    <w:unhideWhenUsed/>
    <w:pPr>
      <w:ind w:left="1701" w:right="0" w:firstLine="0"/>
      <w:spacing w:after="57"/>
    </w:pPr>
  </w:style>
  <w:style w:type="paragraph" w:styleId="916">
    <w:name w:val="toc 8"/>
    <w:basedOn w:val="920"/>
    <w:next w:val="920"/>
    <w:uiPriority w:val="39"/>
    <w:unhideWhenUsed/>
    <w:pPr>
      <w:ind w:left="1984" w:right="0" w:firstLine="0"/>
      <w:spacing w:after="57"/>
    </w:pPr>
  </w:style>
  <w:style w:type="paragraph" w:styleId="917">
    <w:name w:val="toc 9"/>
    <w:basedOn w:val="920"/>
    <w:next w:val="920"/>
    <w:uiPriority w:val="39"/>
    <w:unhideWhenUsed/>
    <w:pPr>
      <w:ind w:left="2268" w:right="0" w:firstLine="0"/>
      <w:spacing w:after="57"/>
    </w:pPr>
  </w:style>
  <w:style w:type="paragraph" w:styleId="918">
    <w:name w:val="TOC Heading"/>
    <w:uiPriority w:val="39"/>
    <w:unhideWhenUsed/>
  </w:style>
  <w:style w:type="paragraph" w:styleId="919">
    <w:name w:val="table of figures"/>
    <w:basedOn w:val="920"/>
    <w:next w:val="920"/>
    <w:uiPriority w:val="99"/>
    <w:unhideWhenUsed/>
    <w:pPr>
      <w:spacing w:after="0" w:afterAutospacing="0"/>
    </w:pPr>
  </w:style>
  <w:style w:type="paragraph" w:styleId="920" w:default="1">
    <w:name w:val="Normal"/>
    <w:qFormat/>
    <w:pPr>
      <w:ind w:firstLine="357"/>
      <w:jc w:val="both"/>
      <w:spacing w:after="120" w:line="276" w:lineRule="auto"/>
    </w:pPr>
    <w:rPr>
      <w:rFonts w:ascii="Times New Roman" w:hAnsi="Times New Roman" w:cs="Times New Roman"/>
      <w:sz w:val="24"/>
      <w:szCs w:val="24"/>
    </w:rPr>
  </w:style>
  <w:style w:type="character" w:styleId="921" w:default="1">
    <w:name w:val="Default Paragraph Font"/>
    <w:uiPriority w:val="1"/>
    <w:semiHidden/>
    <w:unhideWhenUsed/>
  </w:style>
  <w:style w:type="table" w:styleId="92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23" w:default="1">
    <w:name w:val="No List"/>
    <w:uiPriority w:val="99"/>
    <w:semiHidden/>
    <w:unhideWhenUsed/>
  </w:style>
  <w:style w:type="paragraph" w:styleId="924">
    <w:name w:val="List Paragraph"/>
    <w:basedOn w:val="920"/>
    <w:link w:val="929"/>
    <w:uiPriority w:val="34"/>
    <w:qFormat/>
    <w:pPr>
      <w:contextualSpacing/>
      <w:ind w:left="720"/>
    </w:pPr>
  </w:style>
  <w:style w:type="paragraph" w:styleId="925">
    <w:name w:val="Balloon Text"/>
    <w:basedOn w:val="920"/>
    <w:link w:val="926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926" w:customStyle="1">
    <w:name w:val="Текст выноски Знак"/>
    <w:basedOn w:val="921"/>
    <w:link w:val="925"/>
    <w:uiPriority w:val="99"/>
    <w:semiHidden/>
    <w:rPr>
      <w:rFonts w:ascii="Segoe UI" w:hAnsi="Segoe UI" w:cs="Segoe UI"/>
      <w:sz w:val="18"/>
      <w:szCs w:val="18"/>
    </w:rPr>
  </w:style>
  <w:style w:type="paragraph" w:styleId="927" w:customStyle="1">
    <w:name w:val="Буллит1"/>
    <w:basedOn w:val="924"/>
    <w:link w:val="930"/>
    <w:qFormat/>
    <w:pPr>
      <w:numPr>
        <w:ilvl w:val="0"/>
        <w:numId w:val="18"/>
      </w:numPr>
      <w:ind w:left="709"/>
    </w:pPr>
  </w:style>
  <w:style w:type="paragraph" w:styleId="928" w:customStyle="1">
    <w:name w:val="Заг1"/>
    <w:basedOn w:val="924"/>
    <w:link w:val="932"/>
    <w:qFormat/>
    <w:pPr>
      <w:numPr>
        <w:ilvl w:val="0"/>
        <w:numId w:val="1"/>
      </w:numPr>
      <w:ind w:left="357" w:hanging="357"/>
    </w:pPr>
    <w:rPr>
      <w:b/>
    </w:rPr>
  </w:style>
  <w:style w:type="character" w:styleId="929" w:customStyle="1">
    <w:name w:val="Абзац списка Знак"/>
    <w:basedOn w:val="921"/>
    <w:link w:val="924"/>
    <w:uiPriority w:val="34"/>
    <w:rPr>
      <w:rFonts w:ascii="Times New Roman" w:hAnsi="Times New Roman" w:cs="Times New Roman"/>
      <w:sz w:val="24"/>
      <w:szCs w:val="24"/>
    </w:rPr>
  </w:style>
  <w:style w:type="character" w:styleId="930" w:customStyle="1">
    <w:name w:val="Буллит1 Знак"/>
    <w:basedOn w:val="929"/>
    <w:link w:val="927"/>
    <w:rPr>
      <w:rFonts w:ascii="Times New Roman" w:hAnsi="Times New Roman" w:cs="Times New Roman"/>
      <w:sz w:val="24"/>
      <w:szCs w:val="24"/>
    </w:rPr>
  </w:style>
  <w:style w:type="paragraph" w:styleId="931" w:customStyle="1">
    <w:name w:val="Спи11"/>
    <w:basedOn w:val="924"/>
    <w:link w:val="933"/>
    <w:qFormat/>
    <w:pPr>
      <w:numPr>
        <w:ilvl w:val="1"/>
        <w:numId w:val="1"/>
      </w:numPr>
    </w:pPr>
  </w:style>
  <w:style w:type="character" w:styleId="932" w:customStyle="1">
    <w:name w:val="Заг1 Знак"/>
    <w:basedOn w:val="929"/>
    <w:link w:val="928"/>
    <w:rPr>
      <w:rFonts w:ascii="Times New Roman" w:hAnsi="Times New Roman" w:cs="Times New Roman"/>
      <w:b/>
      <w:sz w:val="24"/>
      <w:szCs w:val="24"/>
    </w:rPr>
  </w:style>
  <w:style w:type="character" w:styleId="933" w:customStyle="1">
    <w:name w:val="Спи11 Знак"/>
    <w:basedOn w:val="929"/>
    <w:link w:val="931"/>
    <w:rPr>
      <w:rFonts w:ascii="Times New Roman" w:hAnsi="Times New Roman" w:cs="Times New Roman"/>
      <w:sz w:val="24"/>
      <w:szCs w:val="24"/>
    </w:rPr>
  </w:style>
  <w:style w:type="paragraph" w:styleId="934">
    <w:name w:val="Header"/>
    <w:basedOn w:val="920"/>
    <w:link w:val="935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935" w:customStyle="1">
    <w:name w:val="Верхний колонтитул Знак"/>
    <w:basedOn w:val="921"/>
    <w:link w:val="934"/>
    <w:uiPriority w:val="99"/>
    <w:rPr>
      <w:rFonts w:ascii="Times New Roman" w:hAnsi="Times New Roman" w:cs="Times New Roman"/>
      <w:sz w:val="24"/>
      <w:szCs w:val="24"/>
    </w:rPr>
  </w:style>
  <w:style w:type="paragraph" w:styleId="936">
    <w:name w:val="Footer"/>
    <w:basedOn w:val="920"/>
    <w:link w:val="937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937" w:customStyle="1">
    <w:name w:val="Нижний колонтитул Знак"/>
    <w:basedOn w:val="921"/>
    <w:link w:val="936"/>
    <w:uiPriority w:val="99"/>
    <w:rPr>
      <w:rFonts w:ascii="Times New Roman" w:hAnsi="Times New Roman" w:cs="Times New Roman"/>
      <w:sz w:val="24"/>
      <w:szCs w:val="24"/>
    </w:rPr>
  </w:style>
  <w:style w:type="character" w:styleId="938">
    <w:name w:val="Hyperlink"/>
    <w:basedOn w:val="921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hyperlink" Target="https://disk.yandex.ru/d/MseYl3Wg-CU5NQ" TargetMode="External"/><Relationship Id="rId11" Type="http://schemas.openxmlformats.org/officeDocument/2006/relationships/hyperlink" Target="https://7ya.er.ru/main-directions/dekret-o-bezopasnosti-rebenka-v-avtomobile" TargetMode="External"/><Relationship Id="rId12" Type="http://schemas.openxmlformats.org/officeDocument/2006/relationships/hyperlink" Target="https://7ya.er.ru/main-directions/dekret-o-bezopasnosti-rebenka-v-avtomobile" TargetMode="External"/><Relationship Id="rId13" Type="http://schemas.openxmlformats.org/officeDocument/2006/relationships/hyperlink" Target="https://7ya.er.ru/main-directions/dekret-o-bezopasnosti-rebenka-v-avtomobile" TargetMode="External"/><Relationship Id="rId14" Type="http://schemas.openxmlformats.org/officeDocument/2006/relationships/hyperlink" Target="https://7ya.er.ru/main-directions/dekret-o-bezopasnosti-rebenka-v-avtomobile" TargetMode="External"/><Relationship Id="rId15" Type="http://schemas.openxmlformats.org/officeDocument/2006/relationships/hyperlink" Target="https://7ya.er.ru/main-directions/dekret-o-bezopasnosti-rebenka-v-avtomobile" TargetMode="External"/><Relationship Id="rId16" Type="http://schemas.openxmlformats.org/officeDocument/2006/relationships/hyperlink" Target="https://7ya.er.ru/main-directions/dekret-o-bezopasnosti-rebenka-v-avtomobile" TargetMode="External"/><Relationship Id="rId17" Type="http://schemas.openxmlformats.org/officeDocument/2006/relationships/hyperlink" Target="https://7ya.er.ru/main-directions/dekret-o-bezopasnosti-rebenka-v-avtomobile" TargetMode="External"/><Relationship Id="rId18" Type="http://schemas.openxmlformats.org/officeDocument/2006/relationships/hyperlink" Target="https://7ya.er.ru/main-directions/dekret-o-bezopasnosti-rebenka-v-avtomobile" TargetMode="External"/><Relationship Id="rId19" Type="http://schemas.openxmlformats.org/officeDocument/2006/relationships/hyperlink" Target="https://7ya.er.ru/main-directions/dekret-o-bezopasnosti-rebenka-v-avtomobile" TargetMode="External"/><Relationship Id="rId20" Type="http://schemas.openxmlformats.org/officeDocument/2006/relationships/hyperlink" Target="https://7ya.er.ru/main-directions/dekret-o-bezopasnosti-rebenka-v-avtomobile" TargetMode="External"/><Relationship Id="rId21" Type="http://schemas.openxmlformats.org/officeDocument/2006/relationships/hyperlink" Target="https://7ya.er.ru/main-directions/dekret-o-bezopasnosti-rebenka-v-avtomobile" TargetMode="External"/><Relationship Id="rId22" Type="http://schemas.openxmlformats.org/officeDocument/2006/relationships/hyperlink" Target="https://7ya.er.ru/main-directions/dekret-o-bezopasnosti-rebenka-v-avtomobile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Company>ВПП "Единая Россия"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Усвяцова Анна Андреевна</dc:creator>
  <cp:keywords/>
  <dc:description/>
  <cp:lastModifiedBy>Нина Долгова</cp:lastModifiedBy>
  <cp:revision>10</cp:revision>
  <dcterms:created xsi:type="dcterms:W3CDTF">2024-06-06T12:41:00Z</dcterms:created>
  <dcterms:modified xsi:type="dcterms:W3CDTF">2024-06-13T13:55:04Z</dcterms:modified>
</cp:coreProperties>
</file>