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168EB">
        <w:rPr>
          <w:rFonts w:ascii="Times New Roman" w:hAnsi="Times New Roman" w:cs="Times New Roman"/>
          <w:bCs/>
          <w:sz w:val="28"/>
          <w:szCs w:val="28"/>
        </w:rPr>
        <w:t xml:space="preserve">Работы присылать на </w:t>
      </w:r>
      <w:r w:rsidRPr="008168EB">
        <w:rPr>
          <w:rFonts w:ascii="Times New Roman" w:hAnsi="Times New Roman" w:cs="Times New Roman"/>
          <w:bCs/>
          <w:sz w:val="28"/>
          <w:szCs w:val="28"/>
          <w:lang w:val="en-US"/>
        </w:rPr>
        <w:t>irinushka</w:t>
      </w:r>
      <w:r w:rsidRPr="008168EB">
        <w:rPr>
          <w:rFonts w:ascii="Times New Roman" w:hAnsi="Times New Roman" w:cs="Times New Roman"/>
          <w:bCs/>
          <w:sz w:val="28"/>
          <w:szCs w:val="28"/>
        </w:rPr>
        <w:t>-777@</w:t>
      </w:r>
      <w:r w:rsidRPr="008168EB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8168EB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011C7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Урок по произведению Виктора Олеговича Пелевина «Жизнь и приключения сарая номер XII»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Задание</w:t>
      </w: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читать биографию В. Пелевина по материалам </w:t>
      </w:r>
    </w:p>
    <w:p w:rsid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Интернета:</w:t>
      </w:r>
    </w:p>
    <w:p w:rsid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https://zen.yandex.ru/media/id/5a4a68578c8be39e48719e94/viktor-pelevin-samyi-zagadochnyi-rossiiskii-pisatel-sovremennosti-5a4b88234bf16144296e12b1 , 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прочитать рассказ</w:t>
      </w: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434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(можно в кратком изложении)</w:t>
      </w: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«Жизнь и приключения сарая номер XII»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Письменно сделать анализ рассказа «Жизнь и приключения сарая номер XII»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8168EB" w:rsidRPr="008168EB" w:rsidSect="00B0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168EB"/>
    <w:rsid w:val="008168EB"/>
    <w:rsid w:val="0084341B"/>
    <w:rsid w:val="00B0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2020-04-28T06:19:00Z</dcterms:created>
  <dcterms:modified xsi:type="dcterms:W3CDTF">2020-05-28T16:00:00Z</dcterms:modified>
</cp:coreProperties>
</file>