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78E3D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ind w:left="284"/>
        <w:jc w:val="center"/>
        <w:rPr>
          <w:rFonts w:ascii="Times New Roman" w:hAnsi="Times New Roman"/>
          <w:sz w:val="20"/>
        </w:rPr>
      </w:pPr>
      <w:r>
        <w:drawing>
          <wp:inline xmlns:wp="http://schemas.openxmlformats.org/drawingml/2006/wordprocessingDrawing">
            <wp:extent cx="5984875" cy="33648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3364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0" w:beforeAutospacing="0" w:afterAutospacing="0"/>
        <w:ind w:left="284"/>
        <w:jc w:val="center"/>
        <w:rPr>
          <w:rFonts w:ascii="Times New Roman" w:hAnsi="Times New Roman"/>
          <w:sz w:val="20"/>
        </w:rPr>
      </w:pPr>
    </w:p>
    <w:p>
      <w:pPr>
        <w:spacing w:after="0" w:beforeAutospacing="0" w:afterAutospacing="0"/>
        <w:ind w:left="28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Муниципальное  бюджетное дошкольноеобразовательное учреждение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«Староикшурминскийдетский сад «Кояшкай»» 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Сабинского муниципальногорайона Республики Татарстан»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ПРИНЯТО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Общим собранием работников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МБДОУ-«Староикшурминский детский сад </w:t>
      </w:r>
    </w:p>
    <w:p>
      <w:pPr>
        <w:spacing w:after="0" w:beforeAutospacing="0" w:afterAutospacing="0"/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«Кояшкай»</w:t>
      </w:r>
    </w:p>
    <w:p>
      <w:pPr>
        <w:spacing w:before="12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(протокол № 5 от 15.07.2020 г.)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УТВЕРЖДАЮ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Заведующий МБДОУ-« Староикшурминский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детский сад  «Кояшкай»</w:t>
      </w:r>
    </w:p>
    <w:p>
      <w:pPr>
        <w:spacing w:before="12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______________/Юсупова Н.З./</w:t>
      </w:r>
    </w:p>
    <w:p>
      <w:pPr>
        <w:spacing w:after="0" w:beforeAutospacing="0" w:afterAutospacing="0"/>
        <w:jc w:val="center"/>
        <w:rPr>
          <w:rFonts w:ascii="Times New Roman" w:hAnsi="Times New Roman"/>
          <w:sz w:val="12"/>
        </w:rPr>
      </w:pP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(введено в действие приказом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17.07.2020г. № 17</w:t>
      </w:r>
      <w:bookmarkStart w:id="0" w:name="_GoBack"/>
      <w:bookmarkEnd w:id="0"/>
      <w:r>
        <w:rPr>
          <w:rFonts w:ascii="Times New Roman" w:hAnsi="Times New Roman"/>
          <w:sz w:val="24"/>
        </w:rPr>
        <w:t>-о)</w:t>
      </w:r>
    </w:p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Согласовано</w:t>
      </w:r>
    </w:p>
    <w:p>
      <w:pPr>
        <w:shd w:val="clear" w:fill="FFFFFF"/>
        <w:spacing w:lineRule="auto" w:line="240" w:after="0" w:beforeAutospacing="0" w:afterAutospacing="0"/>
        <w:ind w:right="6237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Профсоюзным комитетом</w:t>
      </w:r>
    </w:p>
    <w:p>
      <w:pPr>
        <w:tabs>
          <w:tab w:val="left" w:pos="3969" w:leader="none"/>
          <w:tab w:val="left" w:pos="4395" w:leader="none"/>
        </w:tabs>
        <w:spacing w:after="0" w:beforeAutospacing="0" w:afterAutospacing="0"/>
        <w:ind w:right="552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(протокол от 15.07.2020 г. №39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ПОЛОЖЕНИЕ 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об общем собрании работников</w:t>
      </w: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МБДОУ-« Староикшурминский  детский  сад «Кояшкай»</w:t>
      </w:r>
    </w:p>
    <w:p>
      <w:pPr>
        <w:tabs>
          <w:tab w:val="center" w:pos="4677" w:leader="none"/>
          <w:tab w:val="left" w:pos="6288" w:leader="none"/>
        </w:tabs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</w:p>
    <w:p>
      <w:pPr>
        <w:tabs>
          <w:tab w:val="center" w:pos="4677" w:leader="none"/>
          <w:tab w:val="left" w:pos="6288" w:leader="none"/>
        </w:tabs>
        <w:spacing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ab/>
        <w:t>1. Общие положения</w:t>
        <w:tab/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Уставом МБДОУ-«Староикшурминский  детский  сад   «Кояшкай» (далее – МБДОУ) и регламентирует деятельность Общего собрания работников МБДОУ. 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Общее собрание работников МБДОУ является коллегиальным органом управления МБДОУ.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Целью деятельности Общего собрания МБДОУ является общее руководство МБДОУ в соответствии с учредительными, программными документами и локальными актами.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1.4. В своей деятельности Общее собрание работников МБДОУ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МБДОУ и настоящим Положением.</w:t>
      </w:r>
    </w:p>
    <w:p>
      <w:pPr>
        <w:spacing w:after="0" w:beforeAutospacing="0" w:afterAutospacing="0"/>
        <w:jc w:val="center"/>
        <w:rPr>
          <w:rFonts w:ascii="Times New Roman" w:hAnsi="Times New Roman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Задачи Общего собрания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Деятельность Общего собрания работников направлена на решение следующих задач: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Организация образовательного процесса и финансово-хозяйственной деятельности на высоком качественном уровне;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Определение перспективных направлений функционирования и развития МБДОУ.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Привлечение общественности к решению вопросов развития МБДОУ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Решение вопросов связанных с развитием образовательной среды МБДОУ;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МБДОУ;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2.6.Принятие мер по защите чести, достоинства и профессиональной репутации работников МБДОУ, предупреждение противоправного вмешательства в их трудовую деятельность;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2.7.Внесение предложений по формированию фонда оплаты труда, порядка стимулирования труда работников МБДОУ;</w:t>
      </w:r>
    </w:p>
    <w:p>
      <w:pPr>
        <w:widowControl w:val="0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2.8.Внесение предложений по порядку и условиям предоставления социальных гарантий и льгот обучающимся и работникам в пределах компетенции;</w:t>
      </w:r>
    </w:p>
    <w:p>
      <w:pPr>
        <w:widowControl w:val="0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2.9.Внесение предложений о поощрении работников;</w:t>
      </w:r>
    </w:p>
    <w:p>
      <w:pPr>
        <w:widowControl w:val="0"/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2.10.Направление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МБДОУ и повышения качества оказываемых образовательных услуг.</w:t>
      </w:r>
    </w:p>
    <w:p>
      <w:pPr>
        <w:spacing w:after="0" w:beforeAutospacing="0" w:afterAutospacing="0"/>
        <w:jc w:val="both"/>
        <w:rPr>
          <w:rFonts w:ascii="Times New Roman" w:hAnsi="Times New Roman"/>
          <w:b w:val="1"/>
          <w:sz w:val="24"/>
        </w:rPr>
      </w:pPr>
    </w:p>
    <w:p>
      <w:pPr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3. Компетенция Общего собрания 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компетенцию Общего собрания работников входит: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рассмотрение вопросов, связанных с соблюдением законодательства о труде работниками Учреждения, администрацией Учреждения, а также, положений Коллективного трудового договора между Учреждением и работниками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рассмотрение спорных или конфликтных ситуаций, касающихся отношений между работниками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рассмотрение вопросов, касающихся улучшения условий труда работников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представление педагогических и других работников к различным видам награждений и поощрений;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заслушивание отчета председателя профсоюзного комитета Учреждения о работе, проделанной профсоюзным комитетом Учреждения в течение учебного года;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рассмотрение и принятие Коллективного договора;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 образование комиссии по трудовым спорам в Учреждении;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 заслушивание отчета руководителя Учреждения по итогам учебного года и подведение итогов работы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 определение приоритетных направлений деятельности, рассмотрение плана развития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 содействие в привлечении для обеспечения уставной деятельности Учреждения дополнительных источников финансовых и материальных средств;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3.11. принятие отдельных локальных нормативных актов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3.12. внесение предложения Учредителю по улучшению деятельности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3.13. определение порядка и условий предоставления социальной поддержки работникам Учреждения;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3.14. принятие решений по другим важнейшим вопросам деятельности Учреждения, не отнесенным к компетенции Учредителя, других органов и заведующего.</w:t>
      </w:r>
    </w:p>
    <w:p>
      <w:pPr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tabs>
          <w:tab w:val="left" w:pos="7464" w:leader="none"/>
        </w:tabs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 Организация деятельности Общего собрания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Общее собрание работников включает в себя работников МБДОУ на дату проведения общего собрания, работающих на условиях полного рабочего дня по основному месту работы в данном учреждении.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Общее собрание работников действует бессрочно.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На заседания Общего собрания работников могут быть приглашены представители МБДОУ, общественных организаций, органов муниципального и государственного управления. Лица, приглашенные на заседание,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Руководство Общим собранием работников осуществляет Председатель. Ведение протоколов Общего собрания работников осуществляется секретарем. Председатель и секретарь Общего собрания работников избираются на первом заседании Общего собрания работников сроком на один год и выполняют свои обязанности на общественных началах. 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 Председатель Общего собрания работников: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-организует деятельность Общего собрания работников;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-информирует членов Общего собрания работников о предстоящем заседании не менее чем за 5 дней;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-организует подготовку заседания;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-определяет повестку дня;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-контролирует выполнение решений.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tabs>
          <w:tab w:val="left" w:pos="7464" w:leader="none"/>
        </w:tabs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Порядок работы Общего собрания 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Общее собрание работников проводится по мере необходимости, но не реже одного раза в год. Решение о проведении внеочередного Общего собрания работников вправе принять заведующий Учреждением, профсоюзный комитет, инициативная группа, состоящая не менее чем из одной трети от численного состава работников.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Общее собрание считается состоявшимся, если на нем присутствовало более половины работников Учреждения.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Решения Общего собрания работников, принятые в пределах его полномочий, являются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обязательными для всех участников образовательных отношений.</w:t>
      </w:r>
    </w:p>
    <w:p>
      <w:pPr>
        <w:tabs>
          <w:tab w:val="left" w:pos="7464" w:leader="none"/>
        </w:tabs>
        <w:spacing w:after="0" w:beforeAutospacing="0" w:afterAutospacing="0"/>
        <w:rPr>
          <w:rFonts w:ascii="Times New Roman" w:hAnsi="Times New Roman"/>
          <w:sz w:val="24"/>
        </w:rPr>
      </w:pPr>
    </w:p>
    <w:p>
      <w:pPr>
        <w:tabs>
          <w:tab w:val="left" w:pos="7464" w:leader="none"/>
        </w:tabs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Ответственность Общего собрания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Общее собрание работников несет ответственность: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-за выполнение, выполнение не в полном объеме или невыполнение закрепленных за ним задач;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-соответствие принимаемых решений законодательству Российской Федерации, подзаконным нормативным правовым актам, Уставу.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tabs>
          <w:tab w:val="left" w:pos="7464" w:leader="none"/>
        </w:tabs>
        <w:spacing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Делопроизводство Общего собрания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Заседания Общего собрания работников оформляются протоколом.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В протоколе фиксируются: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дата проведения;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количественное присутствие (отсутствие) членов трудового коллектива;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приглашенные (ФИО, должность);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повестка дня;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выступающие лица;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краткое содержание выступлений;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ход обсуждения вопросов;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предложения, рекомендации и замечания членов трудового коллектива и приглашенных лиц;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-порядок и итоги голосования;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-принятое решение.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 Протоколы подписываются Председателем и секретарем Общего собрания работников.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7.4. Нумерация протоколов ведется от начала учебного года.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7.5. В конце учебного года протоколы Общего собрания работников нумеруются постранично, прошнуровываются, скрепляются подписью заведующего и печатью учреждения.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7.6. Протоколы Общего собрания работников хранятся в делах МБДОУ и передается по акту (при смене руководителя, передаче в архив в конце учебного года).</w:t>
      </w:r>
    </w:p>
    <w:p>
      <w:pPr>
        <w:tabs>
          <w:tab w:val="left" w:pos="7464" w:leader="none"/>
        </w:tabs>
        <w:spacing w:after="0" w:beforeAutospacing="0" w:afterAutospacing="0"/>
        <w:jc w:val="both"/>
        <w:rPr>
          <w:rFonts w:ascii="Times New Roman" w:hAnsi="Times New Roman"/>
          <w:sz w:val="24"/>
        </w:rPr>
      </w:pPr>
    </w:p>
    <w:p>
      <w:pPr>
        <w:pStyle w:val="P22"/>
        <w:jc w:val="center"/>
        <w:rPr>
          <w:sz w:val="23"/>
        </w:rPr>
      </w:pPr>
      <w:r>
        <w:rPr>
          <w:b w:val="1"/>
          <w:sz w:val="23"/>
        </w:rPr>
        <w:t>8. Заключительные положения</w:t>
      </w:r>
    </w:p>
    <w:p>
      <w:pPr>
        <w:pStyle w:val="P22"/>
        <w:spacing w:after="68" w:beforeAutospacing="0" w:afterAutospacing="0"/>
        <w:jc w:val="both"/>
        <w:rPr>
          <w:color w:val="auto"/>
        </w:rPr>
      </w:pPr>
      <w:r>
        <w:rPr>
          <w:color w:val="auto"/>
        </w:rPr>
        <w:t xml:space="preserve">8.1. Изменения и дополнения в настоящее положение вносятся Общим собранием работников и принимаются на его заседании. </w:t>
      </w:r>
    </w:p>
    <w:p>
      <w:pPr>
        <w:pStyle w:val="P22"/>
        <w:jc w:val="both"/>
      </w:pPr>
      <w:r>
        <w:rPr>
          <w:color w:val="auto"/>
        </w:rPr>
        <w:t xml:space="preserve">8.2. Положение действует до принятия нового положения, принятого на Общем </w:t>
      </w:r>
      <w:r>
        <w:t>собрании работников в установленном порядке.</w:t>
      </w:r>
    </w:p>
    <w:sectPr>
      <w:headerReference xmlns:r="http://schemas.openxmlformats.org/officeDocument/2006/relationships" w:type="default" r:id="RelHdr1"/>
      <w:type w:val="continuous"/>
      <w:pgSz w:w="11906" w:h="16838" w:code="9"/>
      <w:pgMar w:left="1418" w:right="851" w:top="1117" w:bottom="737" w:header="567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noProof w:val="1"/>
      </w:rPr>
      <w:t>#</w:t>
    </w:r>
    <w:r>
      <w:fldChar w:fldCharType="end"/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3"/>
    <w:qFormat/>
    <w:pPr>
      <w:spacing w:before="480" w:after="0" w:beforeAutospacing="0" w:afterAutospacing="0"/>
      <w:contextualSpacing w:val="1"/>
      <w:outlineLvl w:val="0"/>
    </w:pPr>
    <w:rPr>
      <w:b w:val="1"/>
      <w:sz w:val="28"/>
    </w:rPr>
  </w:style>
  <w:style w:type="paragraph" w:styleId="P2">
    <w:name w:val="heading 2"/>
    <w:basedOn w:val="P0"/>
    <w:next w:val="P0"/>
    <w:link w:val="C4"/>
    <w:semiHidden/>
    <w:qFormat/>
    <w:pPr>
      <w:spacing w:before="200" w:after="0" w:beforeAutospacing="0" w:afterAutospacing="0"/>
      <w:outlineLvl w:val="1"/>
    </w:pPr>
    <w:rPr>
      <w:b w:val="1"/>
      <w:sz w:val="26"/>
    </w:rPr>
  </w:style>
  <w:style w:type="paragraph" w:styleId="P3">
    <w:name w:val="heading 3"/>
    <w:basedOn w:val="P0"/>
    <w:next w:val="P0"/>
    <w:link w:val="C5"/>
    <w:semiHidden/>
    <w:qFormat/>
    <w:pPr>
      <w:spacing w:lineRule="auto" w:line="271" w:before="200" w:after="0" w:beforeAutospacing="0" w:afterAutospacing="0"/>
      <w:outlineLvl w:val="2"/>
    </w:pPr>
    <w:rPr>
      <w:b w:val="1"/>
    </w:rPr>
  </w:style>
  <w:style w:type="paragraph" w:styleId="P4">
    <w:name w:val="heading 4"/>
    <w:basedOn w:val="P0"/>
    <w:next w:val="P0"/>
    <w:link w:val="C6"/>
    <w:semiHidden/>
    <w:qFormat/>
    <w:pPr>
      <w:spacing w:before="200" w:after="0" w:beforeAutospacing="0" w:afterAutospacing="0"/>
      <w:outlineLvl w:val="3"/>
    </w:pPr>
    <w:rPr>
      <w:b w:val="1"/>
      <w:i w:val="1"/>
    </w:rPr>
  </w:style>
  <w:style w:type="paragraph" w:styleId="P5">
    <w:name w:val="heading 5"/>
    <w:basedOn w:val="P0"/>
    <w:next w:val="P0"/>
    <w:link w:val="C7"/>
    <w:semiHidden/>
    <w:qFormat/>
    <w:pPr>
      <w:spacing w:before="200" w:after="0" w:beforeAutospacing="0" w:afterAutospacing="0"/>
      <w:outlineLvl w:val="4"/>
    </w:pPr>
    <w:rPr>
      <w:b w:val="1"/>
      <w:color w:val="7F7F7F"/>
    </w:rPr>
  </w:style>
  <w:style w:type="paragraph" w:styleId="P6">
    <w:name w:val="heading 6"/>
    <w:basedOn w:val="P0"/>
    <w:next w:val="P0"/>
    <w:link w:val="C8"/>
    <w:semiHidden/>
    <w:qFormat/>
    <w:pPr>
      <w:spacing w:lineRule="auto" w:line="271" w:after="0" w:beforeAutospacing="0" w:afterAutospacing="0"/>
      <w:outlineLvl w:val="5"/>
    </w:pPr>
    <w:rPr>
      <w:b w:val="1"/>
      <w:i w:val="1"/>
      <w:color w:val="7F7F7F"/>
    </w:rPr>
  </w:style>
  <w:style w:type="paragraph" w:styleId="P7">
    <w:name w:val="heading 7"/>
    <w:basedOn w:val="P0"/>
    <w:next w:val="P0"/>
    <w:link w:val="C9"/>
    <w:semiHidden/>
    <w:qFormat/>
    <w:pPr>
      <w:spacing w:after="0" w:beforeAutospacing="0" w:afterAutospacing="0"/>
      <w:outlineLvl w:val="6"/>
    </w:pPr>
    <w:rPr>
      <w:i w:val="1"/>
    </w:rPr>
  </w:style>
  <w:style w:type="paragraph" w:styleId="P8">
    <w:name w:val="heading 8"/>
    <w:basedOn w:val="P0"/>
    <w:next w:val="P0"/>
    <w:link w:val="C10"/>
    <w:semiHidden/>
    <w:qFormat/>
    <w:pPr>
      <w:spacing w:after="0" w:beforeAutospacing="0" w:afterAutospacing="0"/>
      <w:outlineLvl w:val="7"/>
    </w:pPr>
    <w:rPr>
      <w:sz w:val="20"/>
    </w:rPr>
  </w:style>
  <w:style w:type="paragraph" w:styleId="P9">
    <w:name w:val="heading 9"/>
    <w:basedOn w:val="P0"/>
    <w:next w:val="P0"/>
    <w:link w:val="C11"/>
    <w:semiHidden/>
    <w:qFormat/>
    <w:pPr>
      <w:spacing w:after="0" w:beforeAutospacing="0" w:afterAutospacing="0"/>
      <w:outlineLvl w:val="8"/>
    </w:pPr>
    <w:rPr>
      <w:i w:val="1"/>
      <w:sz w:val="20"/>
    </w:rPr>
  </w:style>
  <w:style w:type="paragraph" w:styleId="P10">
    <w:name w:val="Title"/>
    <w:basedOn w:val="P0"/>
    <w:next w:val="P0"/>
    <w:link w:val="C12"/>
    <w:qFormat/>
    <w:pPr>
      <w:pBdr>
        <w:top w:val="none" w:sz="0" w:space="0" w:shadow="0" w:frame="0" w:color="auto"/>
        <w:left w:val="none" w:sz="0" w:space="0" w:shadow="0" w:frame="0" w:color="auto"/>
        <w:bottom w:val="single" w:sz="4" w:space="1" w:shadow="0" w:frame="0" w:color="auto"/>
        <w:right w:val="none" w:sz="0" w:space="0" w:shadow="0" w:frame="0" w:color="auto"/>
      </w:pBdr>
      <w:spacing w:lineRule="auto" w:line="240" w:beforeAutospacing="0" w:afterAutospacing="0"/>
      <w:contextualSpacing w:val="1"/>
    </w:pPr>
    <w:rPr>
      <w:sz w:val="52"/>
    </w:rPr>
  </w:style>
  <w:style w:type="paragraph" w:styleId="P11">
    <w:name w:val="Subtitle"/>
    <w:basedOn w:val="P0"/>
    <w:next w:val="P0"/>
    <w:link w:val="C13"/>
    <w:qFormat/>
    <w:pPr>
      <w:spacing w:after="600" w:beforeAutospacing="0" w:afterAutospacing="0"/>
    </w:pPr>
    <w:rPr>
      <w:i w:val="1"/>
      <w:sz w:val="24"/>
    </w:rPr>
  </w:style>
  <w:style w:type="paragraph" w:styleId="P12">
    <w:name w:val="No Spacing"/>
    <w:basedOn w:val="P0"/>
    <w:qFormat/>
    <w:pPr>
      <w:spacing w:lineRule="auto" w:line="240" w:after="0" w:beforeAutospacing="0" w:afterAutospacing="0"/>
    </w:pPr>
    <w:rPr/>
  </w:style>
  <w:style w:type="paragraph" w:styleId="P13">
    <w:name w:val="List Paragraph"/>
    <w:basedOn w:val="P0"/>
    <w:qFormat/>
    <w:pPr>
      <w:ind w:left="720"/>
      <w:contextualSpacing w:val="1"/>
    </w:pPr>
    <w:rPr/>
  </w:style>
  <w:style w:type="paragraph" w:styleId="P14">
    <w:name w:val="Quote"/>
    <w:basedOn w:val="P0"/>
    <w:next w:val="P0"/>
    <w:link w:val="C16"/>
    <w:qFormat/>
    <w:pPr>
      <w:spacing w:before="200" w:after="0" w:beforeAutospacing="0" w:afterAutospacing="0"/>
      <w:ind w:left="360" w:right="360"/>
    </w:pPr>
    <w:rPr>
      <w:i w:val="1"/>
    </w:rPr>
  </w:style>
  <w:style w:type="paragraph" w:styleId="P15">
    <w:name w:val="Intense Quote"/>
    <w:basedOn w:val="P0"/>
    <w:next w:val="P0"/>
    <w:link w:val="C17"/>
    <w:qFormat/>
    <w:pPr>
      <w:pBdr>
        <w:top w:val="none" w:sz="0" w:space="0" w:shadow="0" w:frame="0" w:color="auto"/>
        <w:left w:val="none" w:sz="0" w:space="0" w:shadow="0" w:frame="0" w:color="auto"/>
        <w:bottom w:val="single" w:sz="4" w:space="1" w:shadow="0" w:frame="0" w:color="auto"/>
        <w:right w:val="none" w:sz="0" w:space="0" w:shadow="0" w:frame="0" w:color="auto"/>
      </w:pBdr>
      <w:spacing w:before="200" w:after="280" w:beforeAutospacing="0" w:afterAutospacing="0"/>
      <w:ind w:left="1008" w:right="1152"/>
      <w:jc w:val="both"/>
    </w:pPr>
    <w:rPr>
      <w:b w:val="1"/>
      <w:i w:val="1"/>
    </w:rPr>
  </w:style>
  <w:style w:type="paragraph" w:styleId="P16">
    <w:name w:val="TOC Heading"/>
    <w:basedOn w:val="P1"/>
    <w:next w:val="P0"/>
    <w:semiHidden/>
    <w:qFormat/>
    <w:pPr/>
    <w:rPr/>
  </w:style>
  <w:style w:type="paragraph" w:styleId="P17">
    <w:name w:val="header"/>
    <w:basedOn w:val="P0"/>
    <w:link w:val="C23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8">
    <w:name w:val="footer"/>
    <w:basedOn w:val="P0"/>
    <w:link w:val="C24"/>
    <w:pPr>
      <w:tabs>
        <w:tab w:val="center" w:pos="4677" w:leader="none"/>
        <w:tab w:val="right" w:pos="9355" w:leader="none"/>
      </w:tabs>
      <w:spacing w:lineRule="auto" w:line="240" w:after="0" w:beforeAutospacing="0" w:afterAutospacing="0"/>
    </w:pPr>
    <w:rPr/>
  </w:style>
  <w:style w:type="paragraph" w:styleId="P19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0">
    <w:name w:val="ConsPlusNormal"/>
    <w:pPr>
      <w:widowControl w:val="0"/>
      <w:spacing w:lineRule="auto" w:line="240" w:after="0" w:beforeAutospacing="0" w:afterAutospacing="0"/>
      <w:ind w:firstLine="720"/>
    </w:pPr>
    <w:rPr>
      <w:rFonts w:ascii="Arial" w:hAnsi="Arial"/>
      <w:sz w:val="20"/>
    </w:rPr>
  </w:style>
  <w:style w:type="paragraph" w:styleId="P21">
    <w:name w:val="Balloon Text"/>
    <w:basedOn w:val="P0"/>
    <w:link w:val="C2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22">
    <w:name w:val="Default"/>
    <w:pPr>
      <w:spacing w:lineRule="auto" w:line="240" w:after="0" w:beforeAutospacing="0" w:afterAutospacing="0"/>
    </w:pPr>
    <w:rPr>
      <w:rFonts w:ascii="Times New Roman" w:hAnsi="Times New Roman"/>
      <w:color w:val="000000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Заголовок 1 Знак"/>
    <w:basedOn w:val="C0"/>
    <w:link w:val="P1"/>
    <w:rPr>
      <w:b w:val="1"/>
      <w:sz w:val="28"/>
    </w:rPr>
  </w:style>
  <w:style w:type="character" w:styleId="C4">
    <w:name w:val="Заголовок 2 Знак"/>
    <w:basedOn w:val="C0"/>
    <w:link w:val="P2"/>
    <w:semiHidden/>
    <w:rPr>
      <w:b w:val="1"/>
      <w:sz w:val="26"/>
    </w:rPr>
  </w:style>
  <w:style w:type="character" w:styleId="C5">
    <w:name w:val="Заголовок 3 Знак"/>
    <w:basedOn w:val="C0"/>
    <w:link w:val="P3"/>
    <w:rPr>
      <w:b w:val="1"/>
    </w:rPr>
  </w:style>
  <w:style w:type="character" w:styleId="C6">
    <w:name w:val="Заголовок 4 Знак"/>
    <w:basedOn w:val="C0"/>
    <w:link w:val="P4"/>
    <w:semiHidden/>
    <w:rPr>
      <w:b w:val="1"/>
      <w:i w:val="1"/>
    </w:rPr>
  </w:style>
  <w:style w:type="character" w:styleId="C7">
    <w:name w:val="Заголовок 5 Знак"/>
    <w:basedOn w:val="C0"/>
    <w:link w:val="P5"/>
    <w:semiHidden/>
    <w:rPr>
      <w:b w:val="1"/>
      <w:color w:val="7F7F7F"/>
    </w:rPr>
  </w:style>
  <w:style w:type="character" w:styleId="C8">
    <w:name w:val="Заголовок 6 Знак"/>
    <w:basedOn w:val="C0"/>
    <w:link w:val="P6"/>
    <w:semiHidden/>
    <w:rPr>
      <w:b w:val="1"/>
      <w:i w:val="1"/>
      <w:color w:val="7F7F7F"/>
    </w:rPr>
  </w:style>
  <w:style w:type="character" w:styleId="C9">
    <w:name w:val="Заголовок 7 Знак"/>
    <w:basedOn w:val="C0"/>
    <w:link w:val="P7"/>
    <w:semiHidden/>
    <w:rPr>
      <w:i w:val="1"/>
    </w:rPr>
  </w:style>
  <w:style w:type="character" w:styleId="C10">
    <w:name w:val="Заголовок 8 Знак"/>
    <w:basedOn w:val="C0"/>
    <w:link w:val="P8"/>
    <w:semiHidden/>
    <w:rPr>
      <w:sz w:val="20"/>
    </w:rPr>
  </w:style>
  <w:style w:type="character" w:styleId="C11">
    <w:name w:val="Заголовок 9 Знак"/>
    <w:basedOn w:val="C0"/>
    <w:link w:val="P9"/>
    <w:semiHidden/>
    <w:rPr>
      <w:i w:val="1"/>
      <w:sz w:val="20"/>
    </w:rPr>
  </w:style>
  <w:style w:type="character" w:styleId="C12">
    <w:name w:val="Название Знак"/>
    <w:basedOn w:val="C0"/>
    <w:link w:val="P10"/>
    <w:rPr>
      <w:sz w:val="52"/>
    </w:rPr>
  </w:style>
  <w:style w:type="character" w:styleId="C13">
    <w:name w:val="Подзаголовок Знак"/>
    <w:basedOn w:val="C0"/>
    <w:link w:val="P11"/>
    <w:rPr>
      <w:i w:val="1"/>
      <w:sz w:val="24"/>
    </w:rPr>
  </w:style>
  <w:style w:type="character" w:styleId="C14">
    <w:name w:val="Strong"/>
    <w:qFormat/>
    <w:rPr>
      <w:b w:val="1"/>
    </w:rPr>
  </w:style>
  <w:style w:type="character" w:styleId="C15">
    <w:name w:val="Emphasis"/>
    <w:qFormat/>
    <w:rPr>
      <w:b w:val="1"/>
      <w:i w:val="1"/>
    </w:rPr>
  </w:style>
  <w:style w:type="character" w:styleId="C16">
    <w:name w:val="Цитата 2 Знак"/>
    <w:basedOn w:val="C0"/>
    <w:link w:val="P14"/>
    <w:rPr>
      <w:i w:val="1"/>
    </w:rPr>
  </w:style>
  <w:style w:type="character" w:styleId="C17">
    <w:name w:val="Выделенная цитата Знак"/>
    <w:basedOn w:val="C0"/>
    <w:link w:val="P15"/>
    <w:rPr>
      <w:b w:val="1"/>
      <w:i w:val="1"/>
    </w:rPr>
  </w:style>
  <w:style w:type="character" w:styleId="C18">
    <w:name w:val="Subtle Emphasis"/>
    <w:qFormat/>
    <w:rPr>
      <w:i w:val="1"/>
    </w:rPr>
  </w:style>
  <w:style w:type="character" w:styleId="C19">
    <w:name w:val="Intense Emphasis"/>
    <w:qFormat/>
    <w:rPr>
      <w:b w:val="1"/>
    </w:rPr>
  </w:style>
  <w:style w:type="character" w:styleId="C20">
    <w:name w:val="Subtle Reference"/>
    <w:qFormat/>
    <w:rPr/>
  </w:style>
  <w:style w:type="character" w:styleId="C21">
    <w:name w:val="Intense Reference"/>
    <w:qFormat/>
    <w:rPr>
      <w:u w:val="single"/>
    </w:rPr>
  </w:style>
  <w:style w:type="character" w:styleId="C22">
    <w:name w:val="Book Title"/>
    <w:qFormat/>
    <w:rPr>
      <w:i w:val="1"/>
    </w:rPr>
  </w:style>
  <w:style w:type="character" w:styleId="C23">
    <w:name w:val="Верхний колонтитул Знак"/>
    <w:basedOn w:val="C0"/>
    <w:link w:val="P17"/>
    <w:rPr/>
  </w:style>
  <w:style w:type="character" w:styleId="C24">
    <w:name w:val="Нижний колонтитул Знак"/>
    <w:basedOn w:val="C0"/>
    <w:link w:val="P18"/>
    <w:rPr/>
  </w:style>
  <w:style w:type="character" w:styleId="C25">
    <w:name w:val="Текст выноски Знак"/>
    <w:basedOn w:val="C0"/>
    <w:link w:val="P21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