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charts/_rels/chart2.xml.rels" ContentType="application/vnd.openxmlformats-package.relationships+xml"/>
  <Override PartName="/word/charts/_rels/chart1.xml.rels" ContentType="application/vnd.openxmlformats-package.relationship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mbeddings/_____Microsoft_Office_Excel3.xlsx" ContentType="application/vnd.openxmlformats-officedocument.spreadsheetml.sheet"/>
  <Override PartName="/word/embeddings/_____Microsoft_Office_Excel2.xlsx" ContentType="application/vnd.openxmlformats-officedocument.spreadsheetml.sheet"/>
  <Override PartName="/word/embeddings/_____Microsoft_Office_Excel1.xlsx" ContentType="application/vnd.openxmlformats-officedocument.spreadsheetml.sheet"/>
  <Override PartName="/word/embeddings/_____Microsoft_Office_Excel4.xlsx" ContentType="application/vnd.openxmlformats-officedocument.spreadsheetml.sheet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480" w:before="0" w:after="0"/>
        <w:jc w:val="center"/>
        <w:outlineLvl w:val="0"/>
        <w:rPr>
          <w:rFonts w:ascii="PT Serif Caption" w:hAnsi="PT Serif Caption"/>
        </w:rPr>
      </w:pPr>
      <w:r>
        <w:rPr>
          <w:rFonts w:ascii="PT Serif Caption" w:hAnsi="PT Serif Caption"/>
          <w:b/>
          <w:bCs/>
          <w:sz w:val="52"/>
          <w:szCs w:val="52"/>
        </w:rPr>
        <w:t xml:space="preserve">ПУБЛИЧНЫЙ ДОКЛАД </w:t>
      </w:r>
    </w:p>
    <w:p>
      <w:pPr>
        <w:pStyle w:val="Normal"/>
        <w:numPr>
          <w:ilvl w:val="0"/>
          <w:numId w:val="0"/>
        </w:numPr>
        <w:spacing w:lineRule="auto" w:line="480" w:before="0" w:after="0"/>
        <w:jc w:val="center"/>
        <w:outlineLvl w:val="0"/>
        <w:rPr>
          <w:rFonts w:ascii="PT Serif Caption" w:hAnsi="PT Serif Caption"/>
        </w:rPr>
      </w:pPr>
      <w:r>
        <w:rPr>
          <w:rFonts w:ascii="PT Serif Caption" w:hAnsi="PT Serif Caption"/>
          <w:b/>
          <w:bCs/>
          <w:sz w:val="52"/>
          <w:szCs w:val="52"/>
        </w:rPr>
        <w:t>заведующего</w:t>
      </w:r>
      <w:r>
        <w:rPr>
          <w:rFonts w:ascii="PT Serif Caption" w:hAnsi="PT Serif Caption"/>
          <w:b/>
          <w:sz w:val="52"/>
          <w:szCs w:val="52"/>
        </w:rPr>
        <w:t xml:space="preserve"> </w:t>
      </w:r>
    </w:p>
    <w:p>
      <w:pPr>
        <w:pStyle w:val="Normal"/>
        <w:spacing w:lineRule="auto" w:line="480" w:before="0" w:after="0"/>
        <w:jc w:val="center"/>
        <w:rPr>
          <w:rFonts w:ascii="PT Serif Caption" w:hAnsi="PT Serif Caption"/>
        </w:rPr>
      </w:pPr>
      <w:r>
        <w:rPr>
          <w:rFonts w:ascii="PT Serif Caption" w:hAnsi="PT Serif Caption"/>
          <w:b/>
          <w:sz w:val="52"/>
          <w:szCs w:val="52"/>
        </w:rPr>
        <w:t xml:space="preserve">МБДОУ «Детский сад № 6 «Радуга» </w:t>
      </w:r>
    </w:p>
    <w:p>
      <w:pPr>
        <w:pStyle w:val="Normal"/>
        <w:spacing w:lineRule="auto" w:line="480" w:before="0" w:after="0"/>
        <w:jc w:val="center"/>
        <w:rPr>
          <w:rFonts w:ascii="PT Serif Caption" w:hAnsi="PT Serif Caption"/>
        </w:rPr>
      </w:pPr>
      <w:r>
        <w:rPr>
          <w:rFonts w:ascii="PT Serif Caption" w:hAnsi="PT Serif Caption"/>
          <w:b/>
          <w:sz w:val="52"/>
          <w:szCs w:val="52"/>
        </w:rPr>
        <w:t>г. Кукмор»</w:t>
      </w:r>
    </w:p>
    <w:p>
      <w:pPr>
        <w:pStyle w:val="Normal"/>
        <w:spacing w:lineRule="auto" w:line="480" w:before="0" w:after="0"/>
        <w:jc w:val="center"/>
        <w:rPr>
          <w:rFonts w:ascii="PT Serif Caption" w:hAnsi="PT Serif Caption"/>
          <w:b/>
          <w:sz w:val="52"/>
          <w:szCs w:val="52"/>
        </w:rPr>
      </w:pPr>
      <w:r>
        <w:rPr>
          <w:rFonts w:ascii="PT Serif Caption" w:hAnsi="PT Serif Caption"/>
          <w:b/>
          <w:sz w:val="52"/>
          <w:szCs w:val="52"/>
        </w:rPr>
      </w:r>
    </w:p>
    <w:p>
      <w:pPr>
        <w:pStyle w:val="Normal"/>
        <w:spacing w:lineRule="auto" w:line="480" w:before="0" w:after="0"/>
        <w:jc w:val="center"/>
        <w:rPr>
          <w:rFonts w:ascii="PT Serif Caption" w:hAnsi="PT Serif Caption"/>
        </w:rPr>
      </w:pPr>
      <w:r>
        <w:rPr>
          <w:rFonts w:ascii="PT Serif Caption" w:hAnsi="PT Serif Caption"/>
          <w:b/>
          <w:sz w:val="52"/>
          <w:szCs w:val="52"/>
        </w:rPr>
        <w:t>за 2024-2025 у.г</w:t>
      </w:r>
      <w:r>
        <w:rPr>
          <w:rFonts w:ascii="PT Serif Caption" w:hAnsi="PT Serif Caption"/>
          <w:b/>
          <w:sz w:val="52"/>
          <w:szCs w:val="52"/>
        </w:rPr>
        <w:t>.</w:t>
      </w:r>
    </w:p>
    <w:p>
      <w:pPr>
        <w:pStyle w:val="Normal"/>
        <w:spacing w:lineRule="auto" w:line="240" w:before="0" w:after="0"/>
        <w:jc w:val="center"/>
        <w:rPr>
          <w:rFonts w:ascii="PT Serif Caption" w:hAnsi="PT Serif Caption"/>
          <w:b/>
          <w:bCs/>
          <w:kern w:val="2"/>
          <w:sz w:val="52"/>
          <w:szCs w:val="52"/>
        </w:rPr>
      </w:pPr>
      <w:r>
        <w:rPr>
          <w:rFonts w:ascii="PT Serif Caption" w:hAnsi="PT Serif Caption"/>
          <w:b/>
          <w:bCs/>
          <w:kern w:val="2"/>
          <w:sz w:val="52"/>
          <w:szCs w:val="52"/>
        </w:rPr>
      </w:r>
    </w:p>
    <w:p>
      <w:pPr>
        <w:pStyle w:val="Normal"/>
        <w:spacing w:lineRule="auto" w:line="240" w:before="0" w:after="0"/>
        <w:jc w:val="center"/>
        <w:rPr>
          <w:rFonts w:ascii="PT Serif Caption" w:hAnsi="PT Serif Caption"/>
          <w:b/>
          <w:bCs/>
          <w:kern w:val="2"/>
          <w:sz w:val="48"/>
          <w:szCs w:val="48"/>
        </w:rPr>
      </w:pPr>
      <w:r>
        <w:rPr>
          <w:rFonts w:ascii="PT Serif Caption" w:hAnsi="PT Serif Caption"/>
          <w:b/>
          <w:bCs/>
          <w:kern w:val="2"/>
          <w:sz w:val="48"/>
          <w:szCs w:val="48"/>
        </w:rPr>
      </w:r>
    </w:p>
    <w:p>
      <w:pPr>
        <w:pStyle w:val="Normal"/>
        <w:spacing w:lineRule="auto" w:line="240" w:before="0" w:after="0"/>
        <w:jc w:val="center"/>
        <w:rPr>
          <w:rFonts w:ascii="PT Serif Caption" w:hAnsi="PT Serif Caption"/>
          <w:b/>
          <w:bCs/>
          <w:kern w:val="2"/>
          <w:sz w:val="48"/>
          <w:szCs w:val="48"/>
        </w:rPr>
      </w:pPr>
      <w:r>
        <w:rPr>
          <w:rFonts w:ascii="PT Serif Caption" w:hAnsi="PT Serif Caption"/>
          <w:b/>
          <w:bCs/>
          <w:kern w:val="2"/>
          <w:sz w:val="48"/>
          <w:szCs w:val="48"/>
        </w:rPr>
      </w:r>
    </w:p>
    <w:p>
      <w:pPr>
        <w:pStyle w:val="Normal"/>
        <w:spacing w:lineRule="auto" w:line="240" w:before="0" w:after="0"/>
        <w:jc w:val="center"/>
        <w:rPr>
          <w:rFonts w:ascii="PT Serif Caption" w:hAnsi="PT Serif Caption"/>
          <w:bCs/>
          <w:kern w:val="2"/>
          <w:sz w:val="28"/>
          <w:szCs w:val="28"/>
        </w:rPr>
      </w:pPr>
      <w:r>
        <w:rPr>
          <w:rFonts w:ascii="PT Serif Caption" w:hAnsi="PT Serif Caption"/>
          <w:bCs/>
          <w:kern w:val="2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PT Serif Caption" w:hAnsi="PT Serif Caption"/>
          <w:bCs/>
          <w:kern w:val="2"/>
          <w:sz w:val="28"/>
          <w:szCs w:val="28"/>
        </w:rPr>
      </w:pPr>
      <w:r>
        <w:rPr>
          <w:rFonts w:ascii="PT Serif Caption" w:hAnsi="PT Serif Caption"/>
          <w:bCs/>
          <w:kern w:val="2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PT Serif Caption" w:hAnsi="PT Serif Caption"/>
          <w:bCs/>
          <w:kern w:val="2"/>
          <w:sz w:val="28"/>
          <w:szCs w:val="28"/>
        </w:rPr>
      </w:pPr>
      <w:r>
        <w:rPr>
          <w:rFonts w:ascii="PT Serif Caption" w:hAnsi="PT Serif Caption"/>
          <w:bCs/>
          <w:kern w:val="2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PT Serif Caption" w:hAnsi="PT Serif Caption"/>
          <w:bCs/>
          <w:kern w:val="2"/>
          <w:sz w:val="28"/>
          <w:szCs w:val="28"/>
        </w:rPr>
      </w:pPr>
      <w:r>
        <w:rPr>
          <w:rFonts w:ascii="PT Serif Caption" w:hAnsi="PT Serif Caption"/>
          <w:bCs/>
          <w:kern w:val="2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PT Serif Caption" w:hAnsi="PT Serif Caption"/>
          <w:bCs/>
          <w:kern w:val="2"/>
          <w:sz w:val="28"/>
          <w:szCs w:val="28"/>
        </w:rPr>
      </w:pPr>
      <w:r>
        <w:rPr>
          <w:rFonts w:ascii="PT Serif Caption" w:hAnsi="PT Serif Caption"/>
          <w:bCs/>
          <w:kern w:val="2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PT Serif Caption" w:hAnsi="PT Serif Caption"/>
          <w:bCs/>
          <w:kern w:val="2"/>
          <w:sz w:val="28"/>
          <w:szCs w:val="28"/>
        </w:rPr>
      </w:pPr>
      <w:r>
        <w:rPr>
          <w:rFonts w:ascii="PT Serif Caption" w:hAnsi="PT Serif Caption"/>
          <w:bCs/>
          <w:kern w:val="2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b/>
          <w:bCs/>
          <w:kern w:val="2"/>
          <w:sz w:val="24"/>
          <w:szCs w:val="24"/>
        </w:rPr>
        <w:t xml:space="preserve">Уважаемые родители, педагоги, общественность, друзья и </w:t>
      </w:r>
      <w:r>
        <w:rPr>
          <w:rFonts w:ascii="PT Serif Caption" w:hAnsi="PT Serif Caption"/>
          <w:b/>
          <w:bCs/>
          <w:kern w:val="2"/>
          <w:sz w:val="24"/>
          <w:szCs w:val="24"/>
        </w:rPr>
        <w:t xml:space="preserve">наши </w:t>
      </w:r>
      <w:r>
        <w:rPr>
          <w:rFonts w:ascii="PT Serif Caption" w:hAnsi="PT Serif Caption"/>
          <w:b/>
          <w:bCs/>
          <w:kern w:val="2"/>
          <w:sz w:val="24"/>
          <w:szCs w:val="24"/>
        </w:rPr>
        <w:t>партнёры!</w:t>
      </w:r>
    </w:p>
    <w:p>
      <w:pPr>
        <w:pStyle w:val="Normal"/>
        <w:spacing w:lineRule="auto" w:line="240" w:before="0" w:after="0"/>
        <w:jc w:val="center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bCs/>
          <w:kern w:val="2"/>
          <w:sz w:val="24"/>
          <w:szCs w:val="24"/>
        </w:rPr>
        <w:tab/>
      </w:r>
    </w:p>
    <w:p>
      <w:pPr>
        <w:pStyle w:val="Normal"/>
        <w:spacing w:before="0" w:after="0"/>
        <w:ind w:firstLine="709"/>
        <w:jc w:val="both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  <w:t xml:space="preserve">Публичный доклад — аналитический публичный документ в форме периодического отчёта учреждения перед обществом, обеспечивающий регулярное (ежегодное) информирование всех заинтересованных сторон о состоянии и перспективах развития образовательного учреждения. </w:t>
      </w:r>
    </w:p>
    <w:p>
      <w:pPr>
        <w:pStyle w:val="Normal"/>
        <w:spacing w:before="0" w:after="0"/>
        <w:ind w:firstLine="709"/>
        <w:jc w:val="both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  <w:t>Публичный доклад подготовлен в соответствии с пунктом 10 статьи 3 Федерального закона от 29.12.2012г. №273-Ф3 «Об образовании в Российской Федерации», с рекомендациями Департамента стратегического развития Минобрнауки России по подготовке Публичных докладов образовательных учреждений от 28.10.2010 № 13-312, Положением о подготовке Публичного доклада в МБДОУ «Детский сад № 6 «Радуга» г.Кукмор» Татарстан(далее МБДОУ) и отражает состояние дел в МБДОУ и результаты его деятельности за 20</w:t>
      </w:r>
      <w:r>
        <w:rPr>
          <w:rFonts w:ascii="PT Serif Caption" w:hAnsi="PT Serif Caption"/>
          <w:sz w:val="24"/>
          <w:szCs w:val="24"/>
        </w:rPr>
        <w:t>24</w:t>
      </w:r>
      <w:r>
        <w:rPr>
          <w:rFonts w:ascii="PT Serif Caption" w:hAnsi="PT Serif Caption"/>
          <w:sz w:val="24"/>
          <w:szCs w:val="24"/>
        </w:rPr>
        <w:t>-20</w:t>
      </w:r>
      <w:r>
        <w:rPr>
          <w:rFonts w:ascii="PT Serif Caption" w:hAnsi="PT Serif Caption"/>
          <w:sz w:val="24"/>
          <w:szCs w:val="24"/>
        </w:rPr>
        <w:t>25</w:t>
      </w:r>
      <w:r>
        <w:rPr>
          <w:rFonts w:ascii="PT Serif Caption" w:hAnsi="PT Serif Caption"/>
          <w:sz w:val="24"/>
          <w:szCs w:val="24"/>
        </w:rPr>
        <w:t xml:space="preserve"> учебный год.  </w:t>
      </w:r>
    </w:p>
    <w:p>
      <w:pPr>
        <w:pStyle w:val="Normal"/>
        <w:spacing w:lineRule="auto" w:line="240" w:before="0" w:after="0"/>
        <w:ind w:firstLine="720"/>
        <w:jc w:val="both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  <w:tab/>
      </w:r>
      <w:r>
        <w:rPr>
          <w:rFonts w:ascii="PT Serif Caption" w:hAnsi="PT Serif Caption"/>
          <w:sz w:val="24"/>
          <w:szCs w:val="24"/>
          <w:u w:val="single"/>
        </w:rPr>
        <w:t>Основными целями</w:t>
      </w:r>
      <w:r>
        <w:rPr>
          <w:rFonts w:ascii="PT Serif Caption" w:hAnsi="PT Serif Caption"/>
          <w:sz w:val="24"/>
          <w:szCs w:val="24"/>
        </w:rPr>
        <w:t xml:space="preserve"> Публичного доклада являются: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firstLine="1080"/>
        <w:contextualSpacing/>
        <w:jc w:val="both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  <w:t>обеспечение информационной основы для организации диалога и согласования интересов всех участников образовательного процесса, включая представителей общественности;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firstLine="1080"/>
        <w:contextualSpacing/>
        <w:jc w:val="both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  <w:t>обеспечение прозрачности функционирования МБДОУ;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firstLine="1080"/>
        <w:contextualSpacing/>
        <w:jc w:val="both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  <w:t>информирование потребителей образовательных услуг о приоритетных направлениях развития МБДОУ, планируемых мероприятиях и ожидаемых результатах деятельности.</w:t>
      </w:r>
    </w:p>
    <w:p>
      <w:pPr>
        <w:pStyle w:val="Normal"/>
        <w:spacing w:lineRule="auto" w:line="240" w:before="0" w:after="0"/>
        <w:ind w:left="1080" w:hanging="0"/>
        <w:jc w:val="both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</w:r>
    </w:p>
    <w:p>
      <w:pPr>
        <w:pStyle w:val="Normal"/>
        <w:spacing w:before="0" w:after="0"/>
        <w:ind w:firstLine="708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  <w:t>Публичный доклад подготовлен комиссией в составе:</w:t>
      </w:r>
    </w:p>
    <w:p>
      <w:pPr>
        <w:pStyle w:val="Normal"/>
        <w:tabs>
          <w:tab w:val="clear" w:pos="709"/>
          <w:tab w:val="left" w:pos="3969" w:leader="none"/>
        </w:tabs>
        <w:spacing w:before="0" w:after="0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  <w:t>Председателя комиссии Каюмовой Л.И. – заведующего,</w:t>
      </w:r>
    </w:p>
    <w:p>
      <w:pPr>
        <w:pStyle w:val="Normal"/>
        <w:tabs>
          <w:tab w:val="clear" w:pos="709"/>
          <w:tab w:val="left" w:pos="3969" w:leader="none"/>
        </w:tabs>
        <w:spacing w:before="0" w:after="0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  <w:t>Зам.председателя Ямаловой З.И.- ст.воспитателя,</w:t>
      </w:r>
    </w:p>
    <w:p>
      <w:pPr>
        <w:pStyle w:val="Normal"/>
        <w:tabs>
          <w:tab w:val="clear" w:pos="709"/>
          <w:tab w:val="left" w:pos="3969" w:leader="none"/>
        </w:tabs>
        <w:spacing w:before="0" w:after="0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  <w:t xml:space="preserve">Членов комиссии: </w:t>
      </w:r>
    </w:p>
    <w:p>
      <w:pPr>
        <w:pStyle w:val="Normal"/>
        <w:tabs>
          <w:tab w:val="clear" w:pos="709"/>
          <w:tab w:val="left" w:pos="3969" w:leader="none"/>
        </w:tabs>
        <w:spacing w:before="0" w:after="0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  <w:t>Ирбулдиной А.Т</w:t>
      </w:r>
      <w:r>
        <w:rPr>
          <w:rFonts w:ascii="PT Serif Caption" w:hAnsi="PT Serif Caption"/>
          <w:sz w:val="24"/>
          <w:szCs w:val="24"/>
        </w:rPr>
        <w:t>.- мед.сестры,</w:t>
      </w:r>
    </w:p>
    <w:p>
      <w:pPr>
        <w:pStyle w:val="Normal"/>
        <w:tabs>
          <w:tab w:val="clear" w:pos="709"/>
          <w:tab w:val="left" w:pos="3969" w:leader="none"/>
        </w:tabs>
        <w:spacing w:before="0" w:after="0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  <w:t>М</w:t>
      </w:r>
      <w:r>
        <w:rPr>
          <w:rFonts w:ascii="PT Serif Caption" w:hAnsi="PT Serif Caption"/>
          <w:sz w:val="24"/>
          <w:szCs w:val="24"/>
        </w:rPr>
        <w:t>убаракшиной Г.Ф</w:t>
      </w:r>
      <w:r>
        <w:rPr>
          <w:rFonts w:ascii="PT Serif Caption" w:hAnsi="PT Serif Caption"/>
          <w:sz w:val="24"/>
          <w:szCs w:val="24"/>
        </w:rPr>
        <w:t>. – председателя профсоюза,</w:t>
      </w:r>
    </w:p>
    <w:p>
      <w:pPr>
        <w:pStyle w:val="Normal"/>
        <w:tabs>
          <w:tab w:val="clear" w:pos="709"/>
          <w:tab w:val="left" w:pos="3969" w:leader="none"/>
        </w:tabs>
        <w:spacing w:before="0" w:after="0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  <w:t>Базгутдиновой Г.Р.- воспитателя,</w:t>
      </w:r>
    </w:p>
    <w:p>
      <w:pPr>
        <w:pStyle w:val="Normal"/>
        <w:tabs>
          <w:tab w:val="clear" w:pos="709"/>
          <w:tab w:val="left" w:pos="3969" w:leader="none"/>
        </w:tabs>
        <w:spacing w:before="0" w:after="0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  <w:t>Минемуллиной Г.И</w:t>
      </w:r>
      <w:r>
        <w:rPr>
          <w:rFonts w:ascii="PT Serif Caption" w:hAnsi="PT Serif Caption"/>
          <w:sz w:val="24"/>
          <w:szCs w:val="24"/>
        </w:rPr>
        <w:t>. – представителя совета родителей.</w:t>
      </w:r>
    </w:p>
    <w:p>
      <w:pPr>
        <w:pStyle w:val="Normal"/>
        <w:spacing w:before="0" w:after="0"/>
        <w:jc w:val="both"/>
        <w:rPr>
          <w:rFonts w:ascii="PT Serif Caption" w:hAnsi="PT Serif Caption"/>
          <w:sz w:val="24"/>
          <w:szCs w:val="24"/>
        </w:rPr>
      </w:pPr>
      <w:r>
        <w:rPr>
          <w:rFonts w:ascii="PT Serif Caption" w:hAnsi="PT Serif Caption"/>
          <w:sz w:val="24"/>
          <w:szCs w:val="24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PT Serif Caption" w:hAnsi="PT Serif Caption"/>
          <w:b/>
          <w:bCs/>
          <w:sz w:val="24"/>
          <w:szCs w:val="24"/>
        </w:rPr>
      </w:pPr>
      <w:r>
        <w:rPr>
          <w:rFonts w:ascii="PT Serif Caption" w:hAnsi="PT Serif Caption"/>
          <w:b/>
          <w:bCs/>
          <w:kern w:val="2"/>
          <w:sz w:val="24"/>
          <w:szCs w:val="24"/>
        </w:rPr>
        <w:t>С уважением, заведующий М</w:t>
      </w:r>
      <w:r>
        <w:rPr>
          <w:rFonts w:ascii="PT Serif Caption" w:hAnsi="PT Serif Caption"/>
          <w:b/>
          <w:bCs/>
          <w:kern w:val="2"/>
          <w:sz w:val="24"/>
          <w:szCs w:val="24"/>
        </w:rPr>
        <w:t>Б</w:t>
      </w:r>
      <w:r>
        <w:rPr>
          <w:rFonts w:ascii="PT Serif Caption" w:hAnsi="PT Serif Caption"/>
          <w:b/>
          <w:bCs/>
          <w:kern w:val="2"/>
          <w:sz w:val="24"/>
          <w:szCs w:val="24"/>
        </w:rPr>
        <w:t>ДОУ «Детский сад №</w:t>
      </w:r>
      <w:r>
        <w:rPr>
          <w:rFonts w:ascii="PT Serif Caption" w:hAnsi="PT Serif Caption"/>
          <w:b/>
          <w:bCs/>
          <w:kern w:val="2"/>
          <w:sz w:val="24"/>
          <w:szCs w:val="24"/>
        </w:rPr>
        <w:t>6 «Радуга» г. Кукмор</w:t>
      </w:r>
      <w:r>
        <w:rPr>
          <w:rFonts w:ascii="PT Serif Caption" w:hAnsi="PT Serif Caption"/>
          <w:b/>
          <w:bCs/>
          <w:kern w:val="2"/>
          <w:sz w:val="24"/>
          <w:szCs w:val="24"/>
        </w:rPr>
        <w:t xml:space="preserve">» </w:t>
      </w:r>
      <w:r>
        <w:rPr>
          <w:rFonts w:ascii="PT Serif Caption" w:hAnsi="PT Serif Caption"/>
          <w:b/>
          <w:bCs/>
          <w:kern w:val="2"/>
          <w:sz w:val="24"/>
          <w:szCs w:val="24"/>
        </w:rPr>
        <w:t>Каюмова Лилия Иосифовна</w:t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tbl>
      <w:tblPr>
        <w:tblW w:w="8960" w:type="dxa"/>
        <w:jc w:val="left"/>
        <w:tblInd w:w="26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60"/>
        <w:gridCol w:w="8299"/>
        <w:gridCol w:w="301"/>
      </w:tblGrid>
      <w:tr>
        <w:trPr>
          <w:trHeight w:val="322" w:hRule="atLeast"/>
        </w:trPr>
        <w:tc>
          <w:tcPr>
            <w:tcW w:w="3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9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ind w:right="3480" w:hanging="0"/>
              <w:jc w:val="right"/>
              <w:rPr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30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tbl>
      <w:tblPr>
        <w:tblStyle w:val="af5"/>
        <w:tblW w:w="9494" w:type="dxa"/>
        <w:jc w:val="left"/>
        <w:tblInd w:w="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286"/>
        <w:gridCol w:w="6135"/>
        <w:gridCol w:w="1073"/>
      </w:tblGrid>
      <w:tr>
        <w:trPr/>
        <w:tc>
          <w:tcPr>
            <w:tcW w:w="2286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20" w:right="206" w:hanging="360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613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206" w:hanging="0"/>
              <w:contextualSpacing/>
              <w:outlineLvl w:val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8"/>
                <w:lang w:eastAsia="en-US"/>
              </w:rPr>
              <w:t>Общая характеристика</w:t>
            </w:r>
          </w:p>
        </w:tc>
        <w:tc>
          <w:tcPr>
            <w:tcW w:w="107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0" w:right="206" w:hanging="0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4-5</w:t>
            </w:r>
          </w:p>
        </w:tc>
      </w:tr>
      <w:tr>
        <w:trPr/>
        <w:tc>
          <w:tcPr>
            <w:tcW w:w="2286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20" w:right="206" w:hanging="360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613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206" w:hanging="0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8"/>
                <w:lang w:eastAsia="en-US"/>
              </w:rPr>
              <w:t>Особенности образовательного процесса</w:t>
            </w:r>
          </w:p>
        </w:tc>
        <w:tc>
          <w:tcPr>
            <w:tcW w:w="107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0" w:right="206" w:hanging="0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5-12</w:t>
            </w:r>
          </w:p>
        </w:tc>
      </w:tr>
      <w:tr>
        <w:trPr/>
        <w:tc>
          <w:tcPr>
            <w:tcW w:w="2286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20" w:right="206" w:hanging="360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Раздел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60" w:right="206" w:hanging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</w:r>
          </w:p>
        </w:tc>
        <w:tc>
          <w:tcPr>
            <w:tcW w:w="613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206" w:hanging="0"/>
              <w:contextualSpacing/>
              <w:outlineLvl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kern w:val="0"/>
                <w:sz w:val="24"/>
                <w:szCs w:val="28"/>
                <w:lang w:eastAsia="en-US"/>
              </w:rPr>
              <w:t>Условия осуществления образовательного процесса</w:t>
            </w:r>
          </w:p>
        </w:tc>
        <w:tc>
          <w:tcPr>
            <w:tcW w:w="107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0" w:right="206" w:hanging="0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12-13</w:t>
            </w:r>
          </w:p>
        </w:tc>
      </w:tr>
      <w:tr>
        <w:trPr/>
        <w:tc>
          <w:tcPr>
            <w:tcW w:w="2286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20" w:right="206" w:hanging="360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Раздел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206" w:hanging="0"/>
              <w:contextualSpacing/>
              <w:outlineLvl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u w:val="single"/>
                <w:lang w:eastAsia="en-US"/>
              </w:rPr>
            </w:r>
          </w:p>
        </w:tc>
        <w:tc>
          <w:tcPr>
            <w:tcW w:w="6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kern w:val="0"/>
                <w:sz w:val="24"/>
                <w:szCs w:val="28"/>
                <w:lang w:eastAsia="en-US"/>
              </w:rPr>
              <w:t>Результаты деятельности МБДОУ</w:t>
            </w:r>
          </w:p>
        </w:tc>
        <w:tc>
          <w:tcPr>
            <w:tcW w:w="107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206" w:hanging="0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13-18</w:t>
            </w:r>
          </w:p>
        </w:tc>
      </w:tr>
      <w:tr>
        <w:trPr/>
        <w:tc>
          <w:tcPr>
            <w:tcW w:w="2286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20" w:right="206" w:hanging="360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Раздел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0" w:right="206" w:hanging="0"/>
              <w:contextualSpacing/>
              <w:outlineLvl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u w:val="single"/>
                <w:lang w:eastAsia="en-US"/>
              </w:rPr>
            </w:r>
          </w:p>
        </w:tc>
        <w:tc>
          <w:tcPr>
            <w:tcW w:w="613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206" w:hanging="0"/>
              <w:contextualSpacing/>
              <w:outlineLvl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kern w:val="0"/>
                <w:sz w:val="24"/>
                <w:szCs w:val="28"/>
                <w:lang w:eastAsia="en-US"/>
              </w:rPr>
              <w:t>Кадровый потенциал</w:t>
            </w:r>
          </w:p>
        </w:tc>
        <w:tc>
          <w:tcPr>
            <w:tcW w:w="107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0" w:right="206" w:hanging="0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18-19</w:t>
            </w:r>
          </w:p>
        </w:tc>
      </w:tr>
      <w:tr>
        <w:trPr/>
        <w:tc>
          <w:tcPr>
            <w:tcW w:w="2286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20" w:right="206" w:hanging="360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Раздел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0" w:right="206" w:hanging="0"/>
              <w:contextualSpacing/>
              <w:outlineLvl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u w:val="single"/>
                <w:lang w:eastAsia="en-US"/>
              </w:rPr>
            </w:r>
          </w:p>
        </w:tc>
        <w:tc>
          <w:tcPr>
            <w:tcW w:w="613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206" w:hanging="0"/>
              <w:contextualSpacing/>
              <w:outlineLvl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kern w:val="0"/>
                <w:sz w:val="24"/>
                <w:szCs w:val="28"/>
                <w:lang w:eastAsia="en-US"/>
              </w:rPr>
              <w:t>Финансовые ресурсы МБДОУ и их использование.</w:t>
            </w:r>
          </w:p>
        </w:tc>
        <w:tc>
          <w:tcPr>
            <w:tcW w:w="107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0" w:right="206" w:hanging="0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19-20</w:t>
            </w:r>
          </w:p>
        </w:tc>
      </w:tr>
      <w:tr>
        <w:trPr/>
        <w:tc>
          <w:tcPr>
            <w:tcW w:w="2286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20" w:right="206" w:hanging="360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Раздел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0" w:right="206" w:hanging="0"/>
              <w:contextualSpacing/>
              <w:outlineLvl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u w:val="single"/>
                <w:lang w:eastAsia="en-US"/>
              </w:rPr>
            </w:r>
          </w:p>
        </w:tc>
        <w:tc>
          <w:tcPr>
            <w:tcW w:w="613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206" w:hanging="0"/>
              <w:contextualSpacing/>
              <w:outlineLvl w:val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8"/>
                <w:lang w:eastAsia="en-US"/>
              </w:rPr>
              <w:t>Решения, принятые по итогам общественного обсуждения</w:t>
            </w:r>
          </w:p>
        </w:tc>
        <w:tc>
          <w:tcPr>
            <w:tcW w:w="107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0" w:right="206" w:hanging="0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20-21</w:t>
            </w:r>
          </w:p>
        </w:tc>
      </w:tr>
      <w:tr>
        <w:trPr/>
        <w:tc>
          <w:tcPr>
            <w:tcW w:w="2286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20" w:right="206" w:hanging="360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Раздел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0" w:right="206" w:hanging="0"/>
              <w:contextualSpacing/>
              <w:outlineLvl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u w:val="single"/>
                <w:lang w:eastAsia="en-US"/>
              </w:rPr>
            </w:r>
          </w:p>
        </w:tc>
        <w:tc>
          <w:tcPr>
            <w:tcW w:w="613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206" w:hanging="0"/>
              <w:contextualSpacing/>
              <w:outlineLvl w:val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8"/>
                <w:lang w:eastAsia="en-US"/>
              </w:rPr>
              <w:t>3аключение. Перспективы и планы развития</w:t>
            </w:r>
          </w:p>
        </w:tc>
        <w:tc>
          <w:tcPr>
            <w:tcW w:w="107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0" w:right="206" w:hanging="0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21-21</w:t>
            </w:r>
          </w:p>
        </w:tc>
      </w:tr>
    </w:tbl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360" w:right="206" w:hanging="0"/>
        <w:contextualSpacing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widowControl w:val="false"/>
        <w:numPr>
          <w:ilvl w:val="0"/>
          <w:numId w:val="2"/>
        </w:numPr>
        <w:spacing w:before="0" w:after="0"/>
        <w:ind w:left="720" w:right="206" w:hanging="360"/>
        <w:contextualSpacing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Раздел</w:t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720" w:right="206" w:hanging="0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ОБЩАЯ ХАРАКТЕРИСТИКА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«Детский сад общеразвивающего вида № 6 «Радуга» г. Кукмор» Кукморского муниципального района Республики Татарстан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открыт в 1972 году и рассчитан на 115 мест (6 групп).  Является юридическим лицом, имеет обособленное имущество, имеет печать со своим наименованием. Действует на основании Устава, приведенного в соответствие с федеральным законом № 273-ФЗ«Об образовании в Российской Федерации».</w:t>
      </w:r>
    </w:p>
    <w:p>
      <w:pPr>
        <w:pStyle w:val="Normal"/>
        <w:spacing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 xml:space="preserve">Основные виды деятельности по ОКВЭД   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85.11 Образование дошкольное</w:t>
      </w:r>
    </w:p>
    <w:p>
      <w:pPr>
        <w:pStyle w:val="Normal"/>
        <w:spacing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 xml:space="preserve">Иные виды деятельности по ОКВЭД 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85.41 Образование дополнительное детей и взрослых</w:t>
      </w:r>
    </w:p>
    <w:p>
      <w:pPr>
        <w:pStyle w:val="Normal"/>
        <w:spacing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Детский сад расположен по адресу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: РТ, 422110, г.Кукмор, ул.Рабочий переулок, д.4а,  телефон 8(84364) 2-70-81.</w:t>
      </w:r>
    </w:p>
    <w:p>
      <w:pPr>
        <w:pStyle w:val="Normal"/>
        <w:spacing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Электронная почта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: </w:t>
      </w:r>
      <w:hyperlink r:id="rId2">
        <w:r>
          <w:rPr>
            <w:rFonts w:eastAsia="Times New Roman" w:ascii="Times New Roman" w:hAnsi="Times New Roman"/>
            <w:color w:val="0000FF"/>
            <w:sz w:val="24"/>
            <w:szCs w:val="24"/>
            <w:u w:val="single"/>
            <w:lang w:val="en-US" w:eastAsia="ru-RU"/>
          </w:rPr>
          <w:t>Raduga</w:t>
        </w:r>
        <w:r>
          <w:rPr>
            <w:rFonts w:eastAsia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eastAsia="Times New Roman" w:ascii="Times New Roman" w:hAnsi="Times New Roman"/>
            <w:color w:val="0000FF"/>
            <w:sz w:val="24"/>
            <w:szCs w:val="24"/>
            <w:u w:val="single"/>
            <w:lang w:val="en-US" w:eastAsia="ru-RU"/>
          </w:rPr>
          <w:t>Kuk</w:t>
        </w:r>
        <w:r>
          <w:rPr>
            <w:rFonts w:eastAsia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@</w:t>
        </w:r>
        <w:r>
          <w:rPr>
            <w:rFonts w:eastAsia="Times New Roman" w:ascii="Times New Roman" w:hAnsi="Times New Roman"/>
            <w:color w:val="0000FF"/>
            <w:sz w:val="24"/>
            <w:szCs w:val="24"/>
            <w:u w:val="single"/>
            <w:lang w:val="en-US" w:eastAsia="ru-RU"/>
          </w:rPr>
          <w:t>tatar</w:t>
        </w:r>
        <w:r>
          <w:rPr>
            <w:rFonts w:eastAsia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.ru</w:t>
        </w:r>
      </w:hyperlink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pacing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Сайт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: https://edu.tatar.ru/kukmor/dou6_raduga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Язык образования: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русский, татарский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Здание детского сада отдельно стоящее типовое, двухэтажное. Расположено рядом с жилыми домами, имеет одну подъездную дорогу. Территория детского сада озеленена насаждениями по всему периметру. На территории учреждения имеются различные виды деревьев и кустарников, газоны, клумбы и цветники. 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2017 году проведен капитальный ремонт.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Ближайшее окружение детского сада составляют: Райсовет, Исполком, Реабилитационный центр для детей с ограниченными возможностями, МБОУ «Гимназия № 1 Ч.Айтматова», МБОУ «Многопрофильный лицей им.А.М.Булатова», МБОУ «КСШ № 4», МБУ ДО «Центр детского творчества «Галактика», ДЮСШ «Зилант», ДЮСШ «Олимп», школа искусств, музыкальная школа», центральный рынок, Россельхозбанк, Сбербанк, Акбарс банк.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От железнодорожного вокзала станции Кукмор, станции Братьев Комаровы до детского сада можно доехать на автобусах маршрута 1, пешком — 30 минут. До детского сада можно доехать по любому автобусному маршруту до остановки «Центральная аптека» - 5 минут до детского сада и остановки «Почта» - 10 минут до детского сада.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Учредителем и собственником имущества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является муниципально-правовое образование: «Кукморский муниципальный район Республики Татарстан». Функции и полномочия учредителя осуществляет Исполнительный комитет Кукморского муниципального района. Отдельные функции и полномочия делегированы муниципальному учреждению «Управление образования Исполнительного комитета Кукморского муниципального района Республики Татарстан»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    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Юридический адрес: 422110, г.Кукмор, ул. Рабочий переулок, д.7. Руководитель: Заместитель руководителя Исполнительного комитета Кукморского муниципального района – начальник Управления образования Ахмадуллин Ильфат Ильясович, тел. 8(84364) 2-70-68, электронная почта </w:t>
      </w:r>
      <w:hyperlink r:id="rId3">
        <w:r>
          <w:rPr>
            <w:rFonts w:eastAsia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kukmoruo.priemnaya@tatar.ru</w:t>
        </w:r>
      </w:hyperlink>
      <w:r>
        <w:rPr>
          <w:rFonts w:eastAsia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tabs>
          <w:tab w:val="clear" w:pos="709"/>
          <w:tab w:val="left" w:pos="851" w:leader="none"/>
        </w:tabs>
        <w:spacing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               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Единоличным исполнительным органом является заведующий, к компетенции которого относится осуществление текущего руководства его деятельностью.</w:t>
      </w:r>
    </w:p>
    <w:p>
      <w:pPr>
        <w:pStyle w:val="Normal"/>
        <w:tabs>
          <w:tab w:val="clear" w:pos="709"/>
          <w:tab w:val="left" w:pos="851" w:leader="none"/>
        </w:tabs>
        <w:spacing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               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Заведующий назначается на должность учредителем. </w:t>
      </w:r>
    </w:p>
    <w:p>
      <w:pPr>
        <w:pStyle w:val="Normal"/>
        <w:tabs>
          <w:tab w:val="clear" w:pos="709"/>
          <w:tab w:val="left" w:pos="851" w:leader="none"/>
        </w:tabs>
        <w:spacing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               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Формами коллегиального управления являются:</w:t>
      </w:r>
    </w:p>
    <w:p>
      <w:pPr>
        <w:pStyle w:val="Normal"/>
        <w:spacing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                   Общее собрание работников;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                   Педагогический совет.</w:t>
      </w:r>
    </w:p>
    <w:p>
      <w:pPr>
        <w:pStyle w:val="Normal"/>
        <w:tabs>
          <w:tab w:val="clear" w:pos="709"/>
          <w:tab w:val="left" w:pos="851" w:leader="none"/>
        </w:tabs>
        <w:spacing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                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В целях учета мнения родителей (законных представителей) воспитанников по вопросам управления и при принятии детским садом локальных нормативных актов, затрагивающих их права и законные интересы, по инициативе родителей (законных представителей) воспитанников действует: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                   совет родителей (законных представителей) воспитанников.</w:t>
      </w:r>
    </w:p>
    <w:p>
      <w:pPr>
        <w:pStyle w:val="NoSpacing"/>
        <w:spacing w:lineRule="auto" w:line="276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детский сад поступают дети с 1 года. В основном дети приходят из дома. </w:t>
      </w:r>
    </w:p>
    <w:p>
      <w:pPr>
        <w:pStyle w:val="NoSpacing"/>
        <w:spacing w:lineRule="auto" w:line="276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МБДОУ «Детский сад №6 «Радуга» г.Кукмор» функционирует 6 групп. </w:t>
      </w:r>
    </w:p>
    <w:p>
      <w:pPr>
        <w:pStyle w:val="NoSpacing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1-я группа раннего возраста-14 детей; 2-я группа раннего возраста-19 ребенок; младшая-24 детей, средняя-20, старшая-24, подготовительная группа -22.</w:t>
      </w:r>
    </w:p>
    <w:p>
      <w:pPr>
        <w:pStyle w:val="NoSpacing"/>
        <w:spacing w:lineRule="auto" w:line="276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приёма и отчисления воспитанников осуществляется на основании приказа заведующего в соответствии с Положением о порядке приёма, перевода, отчисления и восстановления воспитанников. </w:t>
      </w:r>
    </w:p>
    <w:p>
      <w:pPr>
        <w:pStyle w:val="NoSpacing"/>
        <w:spacing w:lineRule="auto" w:line="276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 детей осуществляется в течение всего календарного года при наличии свободных мест.</w:t>
      </w:r>
    </w:p>
    <w:p>
      <w:pPr>
        <w:pStyle w:val="ListParagraph"/>
        <w:widowControl w:val="false"/>
        <w:numPr>
          <w:ilvl w:val="0"/>
          <w:numId w:val="2"/>
        </w:numPr>
        <w:spacing w:before="0" w:after="0"/>
        <w:ind w:left="720" w:right="206" w:hanging="360"/>
        <w:contextualSpacing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Раздел</w:t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720" w:right="206" w:hanging="0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ОСОБЕННОСТИ ОБРАЗОВАТЕЛЬНОГО ПРОЦЕССА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     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Образовательная деятельность с детьми осуществляется в соответствии с основной общеобразовательной программой МБДОУ «Детский сад № 6 «Радуга» г. Кукмор».</w:t>
      </w:r>
    </w:p>
    <w:p>
      <w:pPr>
        <w:pStyle w:val="NormalWeb"/>
        <w:shd w:val="clear" w:color="auto" w:fill="FFFFFF" w:themeFill="background1"/>
        <w:tabs>
          <w:tab w:val="clear" w:pos="709"/>
          <w:tab w:val="left" w:pos="1134" w:leader="none"/>
        </w:tabs>
        <w:spacing w:lineRule="auto" w:line="276" w:beforeAutospacing="0" w:before="0" w:afterAutospacing="0" w:after="0"/>
        <w:contextualSpacing/>
        <w:jc w:val="both"/>
        <w:rPr>
          <w:color w:val="FF0000"/>
        </w:rPr>
      </w:pPr>
      <w:r>
        <w:rPr>
          <w:i/>
          <w:sz w:val="20"/>
          <w:szCs w:val="20"/>
        </w:rPr>
        <w:t>Образовательная  программа дошкольного образования разрабатывается и утверждается Учреждением, осуществляющим образовательную деятельность, в соответствии с федеральным государственным образовательным стандартом дошкольного образования и соответствующей федеральной образовательной программой дошкольного образования</w:t>
      </w:r>
      <w:r>
        <w:rPr/>
        <w:t>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детском саду имеется достаточная материально-техническая база, создана предметно-развивающая среда, соответствующая всем современным санитарным, методическим требованиям, создаёт среду полноценного развития воспитанников в познавательной, художественно–эстетической, социально–личностной, физической сферах и условия физиологического комфорта и эмоционального благополучия воспитанников, обеспечивает охрану и укрепление здоровья детей.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ДОУ оборудованы просторные групповые комнаты, включающие игровую, познавательную и обеденные зоны. Оборудованы музыкальный зал, кабинет татарского языка и логопеда, музей по изучению истории и культуры татарского народа, авто- уголок по ПДД, медицинский кабинет с процедурным кабинетом. На территории детского сада оборудована спортивная площадка.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Имеются специально оборудованные кабинеты: Мини-музей и автокласс. Специально оборудованные помещения позволяют осуществлять воспитательно-образовательную,с детьми в соответствии с поставленными перед ДОУ задачами, осуществлять всестороннее развитие личности ребенка, учитывая их интересы и повышать ткачество работы с детьми.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Оборудован физкультурно-музыкальный зал. Это помещение располагает всеми видами оборудования, необходимыми для ведения физкультурно-оздоровительной, музыкальной, театрализованной работы с детьми.</w:t>
      </w:r>
    </w:p>
    <w:p>
      <w:pPr>
        <w:pStyle w:val="NoSpacing"/>
        <w:spacing w:lineRule="auto" w:line="276" w:before="0" w:after="0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детском саду функционирует логопедический пункт в целях оказания коррекционной помощи воспитанникам в возрасте от пяти до семи лет, имеющим несложные речевые нарушения.</w:t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Для самостоятельной деятельности детей в группах приобретены развивающие пособия, игры, конструкторы, а также предметы детского творчества.</w:t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Развивающая среда дошкольного учреждения строится в соответствии с образовательной программой детского сада: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0" w:hanging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адекватность среды, т.е. ее соответствие вводимым в образовательный процесс программно-методическим комплексам;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0" w:hanging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полнота среды, что предусматривает обеспечение ее содержания для всех видов деятельности ребенка и в частности речевой;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0" w:hanging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деятельностно - возрастная организация среды, что подразумевает постепенное ее обогащение и развертывание соответственно развитию возможностей детей;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0" w:hanging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динамичность, что предполагает возможность быстрого изменения среды, исходя из интересов и потребностей детей.</w:t>
      </w:r>
    </w:p>
    <w:p>
      <w:pPr>
        <w:pStyle w:val="Normal"/>
        <w:spacing w:before="0" w:after="0"/>
        <w:ind w:right="-6" w:hanging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Для реализации дополнительных образовательных услуг по физкультурно-спортивной, художественно-эстетической, социально-педагогической направленностям развития ведутся бесплатные кружки: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физкультурно-спортивная направленность: 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гимнастика «Брейм Джим»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художественно-эстетическая направленность: 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кружок «Золотая нотка», кружок «Тылсымлы бизэклэр»,театральный кружок «Сказка к нам приходит»,кружок «Чудесный мир красок», кружок «Ладушки», кружок «В гостях у сказки».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познавательная направленность:  круж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ок «Занимательная математика», кружок «Юный эколог», кружок «Дисциплина на дорогах-залог благополучия», шахматный кружок"Золотая пешка"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речевая направленность:  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кружок «Умелые пальчики».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социально-коммуникативная направленность: 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кружок «Азбука культуры поведения».</w:t>
      </w:r>
    </w:p>
    <w:p>
      <w:pPr>
        <w:pStyle w:val="Normal"/>
        <w:spacing w:before="0" w:after="0"/>
        <w:ind w:firstLine="567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Начиная со средней группы ведется дополнительное образование по изучению английского языка. Ведет практикующий педагог со стажем работы Хайруллина Резеда Рашидовна.</w:t>
      </w:r>
    </w:p>
    <w:p>
      <w:pPr>
        <w:pStyle w:val="Normal"/>
        <w:spacing w:before="0" w:after="0"/>
        <w:ind w:firstLine="567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Начиная со старшей группы, по заявлению от родителей, педагог МБУ ДО ДОО(П)Ц Кукморского муниципального района РТ Нуриева Фания Габдулбаровна, ведет кружок по шахматам.</w:t>
      </w:r>
    </w:p>
    <w:p>
      <w:pPr>
        <w:pStyle w:val="Normal"/>
        <w:spacing w:before="0" w:after="0"/>
        <w:ind w:firstLine="567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Платной образовательной деятельности в детском саду не ведется.</w:t>
      </w:r>
    </w:p>
    <w:p>
      <w:pPr>
        <w:pStyle w:val="NoSpacing"/>
        <w:spacing w:lineRule="auto" w:line="276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shd w:fill="FFFFFF" w:val="clear"/>
        </w:rPr>
        <w:t>Детский сад функционирует в соответствии с требованиями </w:t>
      </w:r>
      <w:r>
        <w:fldChar w:fldCharType="begin"/>
      </w:r>
      <w:r>
        <w:rPr>
          <w:rStyle w:val="-"/>
          <w:sz w:val="24"/>
          <w:szCs w:val="24"/>
          <w:rFonts w:ascii="Times New Roman" w:hAnsi="Times New Roman"/>
          <w:color w:val="000000"/>
        </w:rPr>
        <w:instrText xml:space="preserve"> HYPERLINK "https://1obraz.ru/" \l "/document/99/566085656/"</w:instrText>
      </w:r>
      <w:r>
        <w:rPr>
          <w:rStyle w:val="-"/>
          <w:sz w:val="24"/>
          <w:szCs w:val="24"/>
          <w:rFonts w:ascii="Times New Roman" w:hAnsi="Times New Roman"/>
          <w:color w:val="000000"/>
        </w:rPr>
        <w:fldChar w:fldCharType="separate"/>
      </w:r>
      <w:r>
        <w:rPr>
          <w:rStyle w:val="-"/>
          <w:rFonts w:ascii="Times New Roman" w:hAnsi="Times New Roman"/>
          <w:color w:val="000000" w:themeColor="text1"/>
          <w:sz w:val="24"/>
          <w:szCs w:val="24"/>
        </w:rPr>
        <w:t>СП 2.4.3648-20</w:t>
      </w:r>
      <w:r>
        <w:rPr>
          <w:rStyle w:val="-"/>
          <w:sz w:val="24"/>
          <w:szCs w:val="24"/>
          <w:rFonts w:ascii="Times New Roman" w:hAnsi="Times New Roman"/>
          <w:color w:val="000000"/>
        </w:rPr>
        <w:fldChar w:fldCharType="end"/>
      </w:r>
      <w:r>
        <w:rPr>
          <w:rFonts w:ascii="Times New Roman" w:hAnsi="Times New Roman"/>
          <w:color w:val="000000" w:themeColor="text1"/>
          <w:sz w:val="24"/>
          <w:szCs w:val="24"/>
          <w:shd w:fill="FFFFFF" w:val="clear"/>
        </w:rPr>
        <w:t> «Санитарно-эпидемиологические требования к организациям воспитания и обучения, отдыха и оздоровления детей и молодежи», с требованиями </w:t>
      </w:r>
      <w:r>
        <w:fldChar w:fldCharType="begin"/>
      </w:r>
      <w:r>
        <w:rPr>
          <w:rStyle w:val="-"/>
          <w:sz w:val="24"/>
          <w:szCs w:val="24"/>
          <w:rFonts w:ascii="Times New Roman" w:hAnsi="Times New Roman"/>
          <w:color w:val="000000"/>
        </w:rPr>
        <w:instrText xml:space="preserve"> HYPERLINK "https://1obraz.ru/" \l "/document/99/573500115/ZAP2EI83I9/"</w:instrText>
      </w:r>
      <w:r>
        <w:rPr>
          <w:rStyle w:val="-"/>
          <w:sz w:val="24"/>
          <w:szCs w:val="24"/>
          <w:rFonts w:ascii="Times New Roman" w:hAnsi="Times New Roman"/>
          <w:color w:val="000000"/>
        </w:rPr>
        <w:fldChar w:fldCharType="separate"/>
      </w:r>
      <w:r>
        <w:rPr>
          <w:rStyle w:val="-"/>
          <w:rFonts w:ascii="Times New Roman" w:hAnsi="Times New Roman"/>
          <w:color w:val="000000" w:themeColor="text1"/>
          <w:sz w:val="24"/>
          <w:szCs w:val="24"/>
        </w:rPr>
        <w:t>СанПиН 1.2.3685-21</w:t>
      </w:r>
      <w:r>
        <w:rPr>
          <w:rStyle w:val="-"/>
          <w:sz w:val="24"/>
          <w:szCs w:val="24"/>
          <w:rFonts w:ascii="Times New Roman" w:hAnsi="Times New Roman"/>
          <w:color w:val="000000"/>
        </w:rPr>
        <w:fldChar w:fldCharType="end"/>
      </w:r>
      <w:r>
        <w:rPr>
          <w:rFonts w:ascii="Times New Roman" w:hAnsi="Times New Roman"/>
          <w:color w:val="000000" w:themeColor="text1"/>
          <w:sz w:val="24"/>
          <w:szCs w:val="24"/>
          <w:shd w:fill="FFFFFF" w:val="clear"/>
        </w:rPr>
        <w:t> «Гигиенические нормативы и требования к обеспечению безопасности и (или) безвредности для человека факторов среды обитания».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Оборудование  помещений в саду безопасное, здоровьесберегающее, эстетически привлекательное и развивающее. Мебель  соответствует росту и возрасту детей, игрушки - обеспечивают максимальный для данного возраста развивающий эффект.</w:t>
        <w:br/>
        <w:t>Пространство группы организовано в виде различных центров, оснащенных большим количеством развивающих материалов (книги, игрушки, материалы для творчества, развивающее оборудование и пр.). Все игры и пособия  доступны детям.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группах созданы все условия для самостоятельной двигательной активности детей: предусмотрена площадь, свободная от мебели, в группах есть игрушки, побуждающие к двигательной игровой деятельности (обручи, скакалки).</w:t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Средства обучения и воспитания, используемые в МБДОУ: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0" w:hanging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печатные (книги, хрестоматии, рабочие тетради, раздаточный материал, пособия и.т.д.);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0" w:hanging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электронные образовательные ресурсы (интерактивные доски-3 штуки; проекторы-7 штук, экраны 4 штуки, интерактивая панель- 1 штука, планет "Мимио студия", "цифровое пианино" и т.д.)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0" w:hanging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аудиовизуальные (слайды, видеофильмы);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0" w:hanging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наглядные плоскостные (плакаты, карты, магнитные доски);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0" w:hanging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демонстрационные (гербарии, муляжи, макеты, стенды);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0" w:hanging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auto"/>
          <w:sz w:val="24"/>
          <w:szCs w:val="24"/>
          <w:lang w:eastAsia="ru-RU"/>
        </w:rPr>
        <w:t>тренажеры и спортивное оборудование (шведская стенка, гимнастические скамейки).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/>
      </w:r>
    </w:p>
    <w:p>
      <w:pPr>
        <w:pStyle w:val="ListParagraph"/>
        <w:widowControl w:val="false"/>
        <w:numPr>
          <w:ilvl w:val="0"/>
          <w:numId w:val="2"/>
        </w:numPr>
        <w:spacing w:before="0" w:after="0"/>
        <w:ind w:left="720" w:right="206" w:hanging="360"/>
        <w:contextualSpacing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Раздел</w:t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360" w:right="206" w:hanging="0"/>
        <w:jc w:val="center"/>
        <w:outlineLvl w:val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УСЛОВИЯ ОСУЩЕСТВЛЕНИЯ ОБРАЗОВАТЕЛЬНОГО ПРОЦЕССА</w:t>
      </w:r>
      <w:r>
        <w:rPr>
          <w:rFonts w:ascii="Times New Roman" w:hAnsi="Times New Roman"/>
          <w:sz w:val="24"/>
          <w:szCs w:val="28"/>
        </w:rPr>
        <w:t xml:space="preserve"> </w:t>
      </w:r>
    </w:p>
    <w:p>
      <w:pPr>
        <w:pStyle w:val="NoSpacing"/>
        <w:spacing w:lineRule="auto" w:line="276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находится в отдельно стоящем двухэтажном здании, построенном по типовому проекту. Здание оборудовано системами холодного водоснабжения, канализацией. Отопление центральное и вентиляция здания образовательного учреждения оборудованы в соответствии с санитарно-эпидемиологическими правилами и нормативами. Горячее водоснабжение обеспечивается посредством электрических водонагревателей.</w:t>
      </w:r>
    </w:p>
    <w:p>
      <w:pPr>
        <w:pStyle w:val="NoSpacing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Материально-технические условия, созданные в учреждении, соответствуют требованиям безопасности. В ДОУ имеется система видеонаблюдения.</w:t>
      </w:r>
    </w:p>
    <w:p>
      <w:pPr>
        <w:pStyle w:val="NoSpacing"/>
        <w:spacing w:lineRule="auto" w:line="276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Здание детского сада оборудовано современной пожарно-охранной сигнализацией и тревожной кнопкой, что позволяет оперативно вызвать наряд 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Территория по всему периметру ограждена забором.</w:t>
      </w:r>
    </w:p>
    <w:p>
      <w:pPr>
        <w:pStyle w:val="NoSpacing"/>
        <w:spacing w:lineRule="auto" w:line="276" w:before="0"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Структурными компонентами являются: </w:t>
      </w:r>
    </w:p>
    <w:p>
      <w:pPr>
        <w:pStyle w:val="NoSpacing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Групповые помещения – 6;</w:t>
      </w:r>
    </w:p>
    <w:p>
      <w:pPr>
        <w:pStyle w:val="NoSpacing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Музыкально- спортивный  зал -1;</w:t>
      </w:r>
    </w:p>
    <w:p>
      <w:pPr>
        <w:pStyle w:val="NoSpacing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3.Медицинский блок - 1 (кабинет, процедурная); </w:t>
      </w:r>
    </w:p>
    <w:p>
      <w:pPr>
        <w:pStyle w:val="NoSpacing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Кабинеты: кабинет заведующего - 1, кабинет татарского языка/учителя-логопеда -1, методический кабинет-1; </w:t>
      </w:r>
    </w:p>
    <w:p>
      <w:pPr>
        <w:pStyle w:val="NoSpacing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Мини-музей/кабинет ПДД- 1;</w:t>
      </w:r>
    </w:p>
    <w:p>
      <w:pPr>
        <w:pStyle w:val="NoSpacing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Прачечная; </w:t>
      </w:r>
    </w:p>
    <w:p>
      <w:pPr>
        <w:pStyle w:val="NoSpacing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Пищеблок. </w:t>
      </w:r>
    </w:p>
    <w:p>
      <w:pPr>
        <w:pStyle w:val="NoSpacing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Территория детского сада включает: </w:t>
      </w:r>
    </w:p>
    <w:p>
      <w:pPr>
        <w:pStyle w:val="NoSpacing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- 6 прогулочных участков для детей; </w:t>
      </w:r>
    </w:p>
    <w:p>
      <w:pPr>
        <w:pStyle w:val="NoSpacing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- 1 спортивная площадка. </w:t>
      </w:r>
    </w:p>
    <w:p>
      <w:pPr>
        <w:pStyle w:val="NoSpacing"/>
        <w:spacing w:lineRule="auto" w:line="276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игровых площадках - яркие теневые навесы, игровые и спортивные комплексы, малые архитектурные формы. </w:t>
      </w:r>
    </w:p>
    <w:p>
      <w:pPr>
        <w:pStyle w:val="NoSpacing"/>
        <w:spacing w:lineRule="auto" w:line="276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Предметно-пространственная среда интенсивно развивающая, провоцирующая возникновение и развитие познавательных интересов ребёнка, его волевых качеств, эмоций, чувств. В интерьере выделяются определенные многофункциональные легко трансформируемые элементы при сохранении общей, смысловой целостности. </w:t>
      </w:r>
    </w:p>
    <w:p>
      <w:pPr>
        <w:pStyle w:val="NoSpacing"/>
        <w:spacing w:lineRule="auto" w:line="276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Планировка помещений такова, что каждый ребёнок может найти место, удобное для занятий и комфортное для его эмоционального состояния. Правильно подобранная и расставленная мебель, рационально использованное пространство групповых комнат позволяют сэкономить место, создать уют и привнести "изюминку" в интерьер каждого помещения, а так же позволяет каждому малышу найти занятие по душе, поверить в свои силы и способности, научиться взаимодействовать с педагогами и со сверстниками, понимать и оценивать их чувства и поступки. На всех возрастных этапах среда в ДОО трансформируется, усложняется, изменяется в соответствии с программными требованиями. </w:t>
      </w:r>
    </w:p>
    <w:p>
      <w:pPr>
        <w:pStyle w:val="NoSpacing"/>
        <w:spacing w:lineRule="auto" w:line="276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создании предметно-развивающей среды мы руководствуемся следующими принципами: комфортности и эмоционального благополучия каждого ребёнка; целесообразной достаточности позволяет предусмотреть необходимость и достаточность наполнения предметно-развивающей среды, а также обеспечить возможность самовыражения воспитанников; доступности; вариативности; превентивности, личной ориентированности; баланса инициатив детей и взрослых. </w:t>
      </w:r>
    </w:p>
    <w:p>
      <w:pPr>
        <w:pStyle w:val="NoSpacing"/>
        <w:spacing w:lineRule="auto" w:line="276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 правильно организованная развивающая предметно-пространственная среда позволяет каждому ребенку найти занятие по душе, поверить в свои силы и способности, научиться взаимодействовать со взрослыми и сверстниками, понимать и оценивать их чувства и поступки, а именно это лежит в основе развивающего обучения. </w:t>
      </w:r>
    </w:p>
    <w:p>
      <w:pPr>
        <w:pStyle w:val="NoSpacing"/>
        <w:spacing w:lineRule="auto" w:line="276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Созданы условия для проведения интеллектуально-развивающих занятий: дидактические пособия, детская энциклопедическая литература, карты, макеты, схемы. В каждой возрастной группе созданы центры по ознакомлению дошкольников с природой родного края, государственной символикой. </w:t>
      </w:r>
    </w:p>
    <w:p>
      <w:pPr>
        <w:pStyle w:val="NoSpacing"/>
        <w:spacing w:lineRule="auto" w:line="276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Условия в помещениях безопасны и комфортны, соответствуют интересам, потребностям и возможностям каждого воспитанника, обеспечивают их гармоничное отношение со сверстниками и окружающим миром. </w:t>
      </w:r>
    </w:p>
    <w:p>
      <w:pPr>
        <w:pStyle w:val="NoSpacing"/>
        <w:spacing w:lineRule="auto" w:line="276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Материально-техническое состояние и его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соответствии с нормативами СанПиН ДОУ обеспечено мебелью, инвентарѐм, посудой, бельем в достаточном количестве. Все системы водо, электро, теплоснабжения работают бесперебойно.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Заменена система освещения в группах. В 2-х группах на 2-м этаже сделаны эвакуационные выходы на улицу. Во всех группах без спален установлены 3-х уровневые кровати.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АПС имеется, 10 огнетушителей, 2- пожарных крана на 1 и 2 этаже, КТС. 6 наружных и 1 внутренняя видеокамера с записью 30 дней. Договора на обслуживание заключены.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Наружное освещение производится 3-я прожекторами и осветительными лампами над входной группой каждой двери.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ДОО имеется выход в Интернет. Работает электронная почта и сайт учреждения. </w:t>
      </w:r>
    </w:p>
    <w:p>
      <w:pPr>
        <w:pStyle w:val="NoSpacing"/>
        <w:spacing w:lineRule="auto" w:line="27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каждой группе, кабинете татарского языка и музыкальном зале имеется интерактивное оборудование.</w:t>
      </w:r>
    </w:p>
    <w:p>
      <w:pPr>
        <w:pStyle w:val="NoSpacing"/>
        <w:spacing w:lineRule="auto" w:line="276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Условия получения дошкольного образования лицами с ограниченными возможностями </w:t>
      </w:r>
      <w:r>
        <w:rPr>
          <w:rFonts w:ascii="Times New Roman" w:hAnsi="Times New Roman"/>
          <w:b/>
          <w:sz w:val="24"/>
          <w:szCs w:val="24"/>
        </w:rPr>
        <w:t>здоровья и инвалидами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специально оборудованных учебных кабинетах: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организации дошкольного образования в ДОУ имеются: кабинет учителя-логопеда, групповые ячейки, музыкальный/спортивный зал. 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Инвалиды и лица с ОВЗ небольшой и средней степени тяжести могут участвовать в образовательном процессе на общих основаниях.</w:t>
      </w:r>
    </w:p>
    <w:tbl>
      <w:tblPr>
        <w:tblStyle w:val="af5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809"/>
        <w:gridCol w:w="6446"/>
        <w:gridCol w:w="1492"/>
      </w:tblGrid>
      <w:tr>
        <w:trPr/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eastAsia="en-US"/>
              </w:rPr>
              <w:t>Наименование</w:t>
            </w:r>
          </w:p>
        </w:tc>
        <w:tc>
          <w:tcPr>
            <w:tcW w:w="64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eastAsia="en-US"/>
              </w:rPr>
              <w:t>Оснащение</w:t>
            </w:r>
          </w:p>
        </w:tc>
        <w:tc>
          <w:tcPr>
            <w:tcW w:w="14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eastAsia="en-US"/>
              </w:rPr>
              <w:t>Площадь</w:t>
            </w:r>
          </w:p>
        </w:tc>
      </w:tr>
      <w:tr>
        <w:trPr/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eastAsia="en-US"/>
              </w:rPr>
              <w:t>Кабинет учителя-логопеда</w:t>
            </w:r>
          </w:p>
        </w:tc>
        <w:tc>
          <w:tcPr>
            <w:tcW w:w="6446" w:type="dxa"/>
            <w:tcBorders/>
          </w:tcPr>
          <w:p>
            <w:pPr>
              <w:pStyle w:val="NormalWeb"/>
              <w:widowControl w:val="false"/>
              <w:shd w:val="clear" w:color="auto" w:fill="FFFFFF"/>
              <w:suppressAutoHyphens w:val="true"/>
              <w:spacing w:lineRule="auto" w:line="276" w:beforeAutospacing="0" w:before="0" w:afterAutospacing="0" w:after="0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Логопедический кабинет находиться на 2  этаже кабинет № 2.2.</w:t>
            </w:r>
          </w:p>
          <w:p>
            <w:pPr>
              <w:pStyle w:val="NormalWeb"/>
              <w:widowControl w:val="false"/>
              <w:shd w:val="clear" w:color="auto" w:fill="FFFFFF"/>
              <w:suppressAutoHyphens w:val="true"/>
              <w:spacing w:lineRule="auto" w:line="276" w:beforeAutospacing="0" w:before="0" w:afterAutospacing="0" w:after="0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Оборудование: дидактический материал, коррекционно-педагогическая литература, учебно-методические пособия, игрушки, ноутбук, шкафы для пособий и литературы, стол детский (1 шт.), стул взрослый (1 шт.), стул детский (10 шт.), настенное зеркало с подсветкой, интерактивная доска.</w:t>
            </w:r>
          </w:p>
        </w:tc>
        <w:tc>
          <w:tcPr>
            <w:tcW w:w="14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eastAsia="en-US"/>
              </w:rPr>
              <w:t>15,8 кв.м.</w:t>
            </w:r>
          </w:p>
        </w:tc>
      </w:tr>
      <w:tr>
        <w:trPr/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eastAsia="en-US"/>
              </w:rPr>
              <w:t>Музыкальный/ спортивный зал</w:t>
            </w:r>
          </w:p>
        </w:tc>
        <w:tc>
          <w:tcPr>
            <w:tcW w:w="64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eastAsia="en-US"/>
              </w:rPr>
              <w:t>Расположен на 2 этаже. Используется для проведения утренников, развлечений и занятий по музыкальной или спортивной деятельности. Оборудование: В зале имеется: фортепиано, музыкальный центр, с комплектом микрофонов, интерактивная панель, ноутбук; спортивная стенка, детские музыкальные инструменты шумовые (звенящие, деревянные), стул детский (40 шт.), стул взрослый, атрибуты для инсценировок, наборы кукольных театров, ширма, маски, тематическое оформление к праздникам, учебно-методическая литература, фонотека.</w:t>
            </w:r>
          </w:p>
        </w:tc>
        <w:tc>
          <w:tcPr>
            <w:tcW w:w="14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eastAsia="en-US"/>
              </w:rPr>
              <w:t>56,2 кв.м.</w:t>
            </w:r>
          </w:p>
        </w:tc>
      </w:tr>
      <w:tr>
        <w:trPr/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eastAsia="en-US"/>
              </w:rPr>
              <w:t>Групповые ячейки</w:t>
            </w:r>
          </w:p>
        </w:tc>
        <w:tc>
          <w:tcPr>
            <w:tcW w:w="64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eastAsia="en-US"/>
              </w:rPr>
              <w:t>3 группы расположены на 1 этаже.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eastAsia="en-US"/>
              </w:rPr>
              <w:t>3 группы расположены на 2 этаже.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eastAsia="en-US"/>
              </w:rPr>
              <w:t>Оборудование: дидактический материал, дошкольная литература, учебно-методические пособия, игрушки, ноутбук, шкафы для пособий и литературы, стол детский (4 шт.), стул взрослый (1 шт.), стул детский (20-25 шт.), интерактивная доска либо проектор с экраном.</w:t>
            </w:r>
          </w:p>
        </w:tc>
        <w:tc>
          <w:tcPr>
            <w:tcW w:w="14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eastAsia="en-US"/>
              </w:rPr>
              <w:t>64-76 кв.м.</w:t>
            </w:r>
          </w:p>
        </w:tc>
      </w:tr>
      <w:tr>
        <w:trPr/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eastAsia="en-US"/>
              </w:rPr>
              <w:t>Кабинет воспитателя по обучению татарскому языку</w:t>
            </w:r>
          </w:p>
        </w:tc>
        <w:tc>
          <w:tcPr>
            <w:tcW w:w="6446" w:type="dxa"/>
            <w:tcBorders/>
          </w:tcPr>
          <w:p>
            <w:pPr>
              <w:pStyle w:val="NormalWeb"/>
              <w:widowControl w:val="false"/>
              <w:shd w:val="clear" w:color="auto" w:fill="FFFFFF"/>
              <w:suppressAutoHyphens w:val="true"/>
              <w:spacing w:lineRule="auto" w:line="276" w:beforeAutospacing="0" w:before="0" w:afterAutospacing="0" w:after="0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Кабинет находиться на 2  этаже кабинет № 2.2.</w:t>
            </w:r>
          </w:p>
          <w:p>
            <w:pPr>
              <w:pStyle w:val="NormalWeb"/>
              <w:widowControl w:val="false"/>
              <w:shd w:val="clear" w:color="auto" w:fill="FFFFFF"/>
              <w:suppressAutoHyphens w:val="true"/>
              <w:spacing w:lineRule="auto" w:line="276" w:beforeAutospacing="0" w:before="0" w:afterAutospacing="0" w:after="0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Оборудование: дидактический материал, коррекционно-педагогическая литература, учебно-методические пособия, игрушки, ноутбук, шкафы для пособий и литературы, стол детский (1 шт.), стул взрослый (1 шт.), стул детский (10 шт.), интерактивная доска.</w:t>
            </w:r>
          </w:p>
        </w:tc>
        <w:tc>
          <w:tcPr>
            <w:tcW w:w="14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eastAsia="en-US"/>
              </w:rPr>
              <w:t>15,8 кв.м.</w:t>
            </w:r>
          </w:p>
        </w:tc>
      </w:tr>
      <w:tr>
        <w:trPr/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eastAsia="en-US"/>
              </w:rPr>
              <w:t>Спортивная и игровые площадки</w:t>
            </w:r>
          </w:p>
        </w:tc>
        <w:tc>
          <w:tcPr>
            <w:tcW w:w="6446" w:type="dxa"/>
            <w:tcBorders/>
          </w:tcPr>
          <w:p>
            <w:pPr>
              <w:pStyle w:val="NormalWeb"/>
              <w:widowControl w:val="false"/>
              <w:shd w:val="clear" w:color="auto" w:fill="FFFFFF"/>
              <w:suppressAutoHyphens w:val="true"/>
              <w:spacing w:lineRule="auto" w:line="276" w:beforeAutospacing="0" w:before="0" w:afterAutospacing="0" w:after="0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состоят из:</w:t>
            </w:r>
          </w:p>
          <w:p>
            <w:pPr>
              <w:pStyle w:val="NormalWeb"/>
              <w:widowControl w:val="false"/>
              <w:shd w:val="clear" w:color="auto" w:fill="FFFFFF"/>
              <w:suppressAutoHyphens w:val="true"/>
              <w:spacing w:lineRule="auto" w:line="276" w:beforeAutospacing="0" w:before="0" w:afterAutospacing="0" w:after="0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- зон с оборудованием подвижных игр;</w:t>
            </w:r>
          </w:p>
          <w:p>
            <w:pPr>
              <w:pStyle w:val="NormalWeb"/>
              <w:widowControl w:val="false"/>
              <w:shd w:val="clear" w:color="auto" w:fill="FFFFFF"/>
              <w:suppressAutoHyphens w:val="true"/>
              <w:spacing w:lineRule="auto" w:line="276" w:beforeAutospacing="0" w:before="0" w:afterAutospacing="0" w:after="0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- зон с гимнастическим оборудованием и спортивными снарядами;</w:t>
            </w:r>
          </w:p>
          <w:p>
            <w:pPr>
              <w:pStyle w:val="NormalWeb"/>
              <w:widowControl w:val="false"/>
              <w:shd w:val="clear" w:color="auto" w:fill="FFFFFF"/>
              <w:suppressAutoHyphens w:val="true"/>
              <w:spacing w:lineRule="auto" w:line="276" w:beforeAutospacing="0" w:before="0" w:afterAutospacing="0" w:after="0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- полосы препятствий.</w:t>
            </w:r>
          </w:p>
          <w:p>
            <w:pPr>
              <w:pStyle w:val="NormalWeb"/>
              <w:widowControl w:val="false"/>
              <w:shd w:val="clear" w:color="auto" w:fill="FFFFFF"/>
              <w:suppressAutoHyphens w:val="true"/>
              <w:spacing w:lineRule="auto" w:line="276" w:beforeAutospacing="0" w:before="0" w:afterAutospacing="0" w:after="0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На площадках размещено спортивное оборудование, предназначенное для всех возрастных групп ДОУ.</w:t>
            </w:r>
          </w:p>
        </w:tc>
        <w:tc>
          <w:tcPr>
            <w:tcW w:w="14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eastAsia="en-US"/>
              </w:rPr>
              <w:t>Игровая зона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eastAsia="en-US"/>
              </w:rPr>
              <w:t>1488 кв.м., спортивная площадка 468 кв.м.,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предметно-развивающая среда в групповых помещениях создана с учетом возрастных особенностей и интересов детей организуется в соответствии с Федеральным государственным образовательным стандартом, отвечает современным требованиям и способствует качественной организации образовательной работы с детьми по реализации содержания всех образовательных областей основной общеобразовательной программы. В групповом помещении обеспечен свободный доступ к играм и игрушкам. При организации образовательной, игровой деятельности для лиц с ограниченными возможностями здоровья имеется коррекционное оборудование: фитболы разного размера, массажные мячи, набивные мячи, массажные дорожки, мягкие маты, сухой бассейн. В групповых помещениях ДОУ так же присутствуют элементы, стимулирующие познавательную, речевую, физическую и игровую деятельность детей. Развивающая предметно-пространственная среда для детей с ОВЗ и детей-инвалидов имеет подвижные трансформирующиеся границы, изменяющиеся (сжимающиеся и расширяющиеся) по объему. Материальная база периодически преобразуется, трансформируется, обновляется для стимулирования физической, творческой, интеллектуальной активности всех детей.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Созданная коррекционно-развивающая среда в ДОУ – это комплексный, системный, вариативно меняющийся механизм непрерывной психолого-педагогической помощи ребенку с ограниченными возможностями здоровья на пути становления его социальной компетентности в играх, занятиях, общении со сверстниками и взрослыми, формировании мобильности и общественной активности.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библиотеке(ах), приспособленных для использования инвалидами и лицами с ограниченными возможностями здоровья.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детском саду отдельного помещения библиотеки нет, литература находится в методическом кабинете. Кабинет укомплектован учебно-методическими пособиями, справочными изданиями, детской художественной литературой, которые подобраны в соответствии с образовательными областями: социально-коммуникативное развитие, познавательное развитие, речевое развитие, художественно-эстетическое развитие, физическое развитие. </w:t>
      </w:r>
    </w:p>
    <w:tbl>
      <w:tblPr>
        <w:tblStyle w:val="af5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740"/>
        <w:gridCol w:w="6852"/>
        <w:gridCol w:w="1155"/>
      </w:tblGrid>
      <w:tr>
        <w:trPr/>
        <w:tc>
          <w:tcPr>
            <w:tcW w:w="1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6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Оснащение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Площадь</w:t>
            </w:r>
          </w:p>
        </w:tc>
      </w:tr>
      <w:tr>
        <w:trPr/>
        <w:tc>
          <w:tcPr>
            <w:tcW w:w="1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Методический кабинет</w:t>
            </w:r>
          </w:p>
        </w:tc>
        <w:tc>
          <w:tcPr>
            <w:tcW w:w="6852" w:type="dxa"/>
            <w:tcBorders/>
          </w:tcPr>
          <w:p>
            <w:pPr>
              <w:pStyle w:val="NormalWeb"/>
              <w:widowControl w:val="false"/>
              <w:shd w:val="clear" w:color="auto" w:fill="FFFFFF"/>
              <w:suppressAutoHyphens w:val="true"/>
              <w:spacing w:lineRule="auto" w:line="276" w:beforeAutospacing="0" w:before="0" w:afterAutospacing="0" w:after="0"/>
              <w:rPr>
                <w:kern w:val="0"/>
              </w:rPr>
            </w:pPr>
            <w:r>
              <w:rPr>
                <w:kern w:val="0"/>
                <w:shd w:fill="FFFFFF" w:val="clear"/>
              </w:rPr>
              <w:t>Программно-методическое обеспечение, библиотека методической и детской литературы, действующая документация, методические наработки педагогов, архив, 2 ноутбука с выходом в интернет, принтер, мультимедийная установка,  ламинатор, стол (2 шт.), кресло офисный (2 шт.), шкафы, телефон. Имеется коллекция дисков с детскими фильмами, песнями, познавательными мультфильмами.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16,2 кв.м.</w:t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объектах спорта, приспособленных для использования инвалидами и лицами с ограниченными возможностями здоровья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 в жизни детей с ОВЗ очень важен. В ДОУ для детей с ОВЗ предусмотрен необходимый спортивный инвентарь: бордюр-балансир, доска-балансир, игра-парашют, мешочки с песком, ходули на шнуре, мягкие модули, набивные мячи, спортивный комплекс (обруч, кольцеброс, кегли, конусы, гимнастические палки и др.).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средствах обучения и воспитания, приспособленных для использования инвалидами и лицами с ограниченными возможностями здоровья ДОУ оснащен современной оргтехникой.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детском саду 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 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мультимедийная установка (проектор, экран, ноутбук); музыкальный центр; портативная колонка; тактильные средства обучения для организации коррекционно-развивающих занятий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время проведения занятий с инвалидами и лицами с ОВЗ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 Имеются электронные УМК, проводится подбор и разработка методических материалов в печатных и электронных формах, адаптированных к ограничениям их здоровья. Имеется возможность дистанционного обучения детей инвалидов и лиц с ОВЗ через программу Skype.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Дети-инвалиды и лица с ОВЗ могут участвовать в образовательном процессе на общих, основаниях, в том числе с имеющимся в ДОУ оборудованием. Специальные технические средства обучения коллективного и индивидуального пользования для инвалидов и лиц с ограниченными возможностями здоровья отсутствуют.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обеспечении беспрепятственного доступа в здания образовательной организации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доступа в здание Детского сада инвалидов и лиц с ограниченными возможностями подтверждено Паспортом доступности.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входной группе размещена вывеска с наименованием учреждения и графиком работы, выполненная шрифтом Брайеля на контрастном фоне, а также кнопка вызова.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Доступ инвалидов и других маломобильных граждан к месту предоставления услуги осуществляется с помощью сотрудников учреждения для сопровождения их к месту получения услуги, получения услуги на объекте.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Территория вокруг здания ДОУ заасфальтирована, преград и перепада высот на пути следования не имеется.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Имеется зона стоянки транспортных средств, которая находится за территорией учреждения. В зоне стоянки транспортных средств парковка для инвалидов с личным транспортом – не предусмотрена.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Конструктивные особенности зданий не предусматривают наличие подъемников и других приспособлений, обеспечивающих доступ инвалидов и лиц с ограниченными возможностями здоровья.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специальных условиях питания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Создание отдельного меню для инвалидов и лиц с ограниченными возможностями здоровья не осуществляется. 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специальных условиях охраны здоровья</w:t>
      </w:r>
    </w:p>
    <w:p>
      <w:pPr>
        <w:pStyle w:val="ListParagraph"/>
        <w:spacing w:before="0" w:after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Функционирует психолого – педагогический консилиум ДОУ, целью которого является создание социализации и адаптации воспитанников посредством психолого – педагогического сопровождения.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Задачами ППк являются: </w:t>
      </w:r>
    </w:p>
    <w:p>
      <w:pPr>
        <w:pStyle w:val="ListParagraph"/>
        <w:numPr>
          <w:ilvl w:val="0"/>
          <w:numId w:val="6"/>
        </w:numPr>
        <w:spacing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выявление трудностей в освоении образовательных программ, особенностей в развитии, социальной адаптации и поведении воспитанников для последующего принятия решений об организации психолого – педагогического сопровождения;  </w:t>
      </w:r>
    </w:p>
    <w:p>
      <w:pPr>
        <w:pStyle w:val="ListParagraph"/>
        <w:numPr>
          <w:ilvl w:val="0"/>
          <w:numId w:val="6"/>
        </w:numPr>
        <w:spacing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рекомендаций по организации психолого – педагогического сопровождения воспитанников.  консультирование участников образовательных отношений по вопросам актуального психофизического состояния и возможностей воспитанников;</w:t>
      </w:r>
    </w:p>
    <w:p>
      <w:pPr>
        <w:pStyle w:val="ListParagraph"/>
        <w:numPr>
          <w:ilvl w:val="0"/>
          <w:numId w:val="6"/>
        </w:numPr>
        <w:spacing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содержания и оказания им психолого- педагогической помощи, создания специальных условий получения образования.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доступе к информационным системам и информационно-телекоммуникационным сетям, приспособленных для использования инвалидами и лицами с ограниченными возможностями здоровья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информационного обеспечения образовательного процесса в ДОУ обеспечен доступ к информационным системам и информационно-телекоммуникационным сетям, имеется подключение к сети Интернет. Детский сад имеет свой сайт, электронную почту. Все педагоги учреждения имеют доступ к сети Интернет. Доступ воспитанников к информационным системам и информационно-коммуникационным сетям не обеспечивается.  Специально оборудованного компьютерного кабинета с доступом к информационным системам и информационно-телекоммуникационным сетям  для использования инвалидами и лицами с ограниченными возможностями здоровья нет. 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Особые условия доступа к информационным системам и информационно-коммуникационным сетям для инвалидов и лиц с ОВЗ представлены при работе с официальным сайтом детского сада - версия для слабовидящих.</w:t>
      </w:r>
    </w:p>
    <w:p>
      <w:pPr>
        <w:pStyle w:val="ListParagraph"/>
        <w:widowControl w:val="false"/>
        <w:numPr>
          <w:ilvl w:val="0"/>
          <w:numId w:val="2"/>
        </w:numPr>
        <w:spacing w:before="0" w:after="0"/>
        <w:ind w:left="720" w:right="206" w:hanging="360"/>
        <w:contextualSpacing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Раздел</w:t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0" w:right="206" w:hanging="0"/>
        <w:contextualSpacing/>
        <w:jc w:val="center"/>
        <w:outlineLvl w:val="0"/>
        <w:rPr>
          <w:highlight w:val="none"/>
          <w:shd w:fill="FFFF00" w:val="clear"/>
        </w:rPr>
      </w:pPr>
      <w:r>
        <w:rPr>
          <w:rFonts w:ascii="Times New Roman" w:hAnsi="Times New Roman"/>
          <w:b/>
          <w:sz w:val="28"/>
          <w:szCs w:val="28"/>
          <w:shd w:fill="FFFF00" w:val="clear"/>
        </w:rPr>
        <w:t>РЕЗУЛЬТАТЫ ДЕЯТЕЛЬНОСТИ МБДОУ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воспитательно-образовательной работы в ДОУ определяется результатами освоения основной образовательной программы дошкольного образования, которые  выражены в целевых ориентирах образовательных областей: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«Физическое развитие»;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«Познавательное развитие»;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«Речевое развитие»;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«Социально-коммуникативное развитие»;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«Художественно-эстетическое развитие».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eastAsiaTheme="minorEastAsia"/>
          <w:sz w:val="24"/>
          <w:szCs w:val="24"/>
        </w:rPr>
      </w:pPr>
      <w:r>
        <w:rPr>
          <w:rFonts w:eastAsia="" w:ascii="Times New Roman" w:hAnsi="Times New Roman" w:eastAsiaTheme="minorEastAsia"/>
          <w:sz w:val="24"/>
          <w:szCs w:val="24"/>
        </w:rPr>
        <w:t xml:space="preserve">Результаты мониторинга освоения программного материала детьми всех возрастных групп на конец 2017 – 2018 учебного года  показали в основном выше среднего уровня.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eastAsiaTheme="minorEastAsia"/>
          <w:sz w:val="24"/>
          <w:szCs w:val="24"/>
        </w:rPr>
      </w:pPr>
      <w:r>
        <w:rPr>
          <w:rFonts w:eastAsia="" w:ascii="Times New Roman" w:hAnsi="Times New Roman" w:eastAsiaTheme="minorEastAsia"/>
          <w:sz w:val="24"/>
          <w:szCs w:val="24"/>
        </w:rPr>
        <w:t>Анализ качества освоения программного материала воспитанниками по образовательным областям  и направлениям позволяет выстроить следующий рейтинговый порядок: наиболее высокие результаты у воспитанников по таким образовательным направлениям, «Художественно-эстетическое развитие» -62,8 %, и  «Познавательное развитие»- 57,48%, «Физическое развитие» - 57,48 %, несколько ниже результаты по направлениям и областям «Социально-коммуникативное  развитие» -52,49%, «Речевое развитие» - 48,49%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eastAsiaTheme="minorEastAsia"/>
          <w:sz w:val="24"/>
          <w:szCs w:val="24"/>
        </w:rPr>
      </w:pPr>
      <w:r>
        <w:rPr>
          <w:rFonts w:eastAsia="" w:eastAsiaTheme="minorEastAsia" w:ascii="Times New Roman" w:hAnsi="Times New Roman"/>
          <w:sz w:val="24"/>
          <w:szCs w:val="24"/>
        </w:rPr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0" w:right="206" w:hanging="0"/>
        <w:contextualSpacing/>
        <w:jc w:val="both"/>
        <w:outlineLvl w:val="0"/>
        <w:rPr>
          <w:rFonts w:ascii="Times New Roman" w:hAnsi="Times New Roman"/>
          <w:sz w:val="24"/>
          <w:szCs w:val="28"/>
        </w:rPr>
      </w:pPr>
      <w:r>
        <w:rPr/>
        <w:drawing>
          <wp:inline distT="0" distB="0" distL="0" distR="0">
            <wp:extent cx="4376420" cy="1863090"/>
            <wp:effectExtent l="0" t="0" r="0" b="0"/>
            <wp:docPr id="1" name="Диаграмма 2" descr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pStyle w:val="Normal"/>
        <w:spacing w:lineRule="atLeast" w:line="220" w:before="0"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eastAsiaTheme="minorEastAsia"/>
          <w:sz w:val="24"/>
          <w:szCs w:val="24"/>
        </w:rPr>
      </w:pPr>
      <w:r>
        <w:rPr>
          <w:rFonts w:eastAsia="" w:ascii="Times New Roman" w:hAnsi="Times New Roman" w:eastAsiaTheme="minorEastAsia"/>
          <w:sz w:val="24"/>
          <w:szCs w:val="24"/>
        </w:rPr>
        <w:t>Анализ мониторинга по детскому саду показал стабильную положительную динамику усвоения основной общеобразовательной программы. Это обеспечит детям  равные стартовые  возможности при обучении в школе.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" w:eastAsiaTheme="minorEastAsia"/>
          <w:sz w:val="24"/>
          <w:szCs w:val="24"/>
        </w:rPr>
      </w:pPr>
      <w:r>
        <w:rPr>
          <w:rFonts w:eastAsia="" w:ascii="Times New Roman" w:hAnsi="Times New Roman" w:eastAsiaTheme="minorEastAsia"/>
          <w:sz w:val="24"/>
          <w:szCs w:val="24"/>
        </w:rPr>
        <w:t>Таким образом,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 на новый учебный год.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согласия родителей (законных представителей) в апреле 2018 года педагогом-психологом Файзрахмановой З.А. и старшим воспитателем З.И. Ямаловой проводилось обследование воспитанников подготовительной к школе группы МБДОУ «Детский сад №6 «Радуга» г. Кукмор»  на предмет оценки сформированности </w:t>
      </w:r>
      <w:r>
        <w:rPr>
          <w:rFonts w:ascii="Times New Roman" w:hAnsi="Times New Roman"/>
          <w:sz w:val="24"/>
          <w:szCs w:val="24"/>
          <w:u w:val="single"/>
        </w:rPr>
        <w:t>предпосылок к учебной деятельности</w:t>
      </w:r>
      <w:r>
        <w:rPr>
          <w:rFonts w:ascii="Times New Roman" w:hAnsi="Times New Roman"/>
          <w:sz w:val="24"/>
          <w:szCs w:val="24"/>
        </w:rPr>
        <w:t xml:space="preserve"> в количестве 21  человек.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Обследование проводилось по традиционным методикам. При отборе диагностического инструментария учитывалось соответствие возрасту детей и  целям диагностического обследования. Изучение  проводилось подгрупповым методом. Предъявляемые задания №1, 3, 4, 5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 Таким образом, оценивается сформированность регуляторного компонента деятельности в целом.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Задания №2, 8, 9 позволяют оценить сформированность операций звукобуквенного анализа и синтеза, фонематического слуха, Задание №5 - соотнесение числа и количества, сформированность представлений «больше, меньше, равно» — то есть собственно предпосылки к учебной деятельности, формирование которых происходит в старшем дошкольном возрасте.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Оценивание уровня развития моторных навыков, в частности мелкой моторики, возможность удержания простой моторной программы в графической деятельности (задание №4) учитывает и уровень сформированности пространственных представлений.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Задания №4, 6,7позволили изучить особенности мыслительной деятельности детей и  уровень развития качественных характеристик процесса обобщения наглядного материала.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Помимо оценки результатов выполняемых заданий, учитывались особенности деятельности и характер поведения ребенка в процессе работы.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Целостный характер исследования предоставил  возможность получить картину актуального уровня развития ребенка и обозначить зону его ближайшего развития.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обследования дети разделились на следующие группы: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уровень (средний балл от 3,2 до 4,0) - высокие показатели состояния ВПФ и процессов – 15человека;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 уровень (средний балл от 2,50 до 3,19) - средний уровень развития – 6человек;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уровень (средний балл от 2,0 до 2,49) – показатели ниже средних  -  0 человек;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уровень (менее 2 баллов) – низкие показатели – 0 человек.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Дети, показавшие высокий результат, по своему развитию способны  усваивать программу развивающего обучения.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Дети, показавшие средний уровень развития, имеют развитие соответствующее возрастной норме (и могут усваивать традиционную программу общеобразовательной школы).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Проведенная диагностика дала  возможность выделить четыре параметра психического развития в соответствии с новыми требованиями к результатам образования в связи с введением ФГОС: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сформированность регуляторного компонента деятельности в целом;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собственно предпосылки к учебной деятельности;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сформированность пространственных представлений;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особенности мыслительной деятельности.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диагностики показали:</w:t>
      </w:r>
    </w:p>
    <w:tbl>
      <w:tblPr>
        <w:tblW w:w="475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72"/>
        <w:gridCol w:w="672"/>
        <w:gridCol w:w="809"/>
        <w:gridCol w:w="943"/>
        <w:gridCol w:w="811"/>
        <w:gridCol w:w="809"/>
        <w:gridCol w:w="939"/>
      </w:tblGrid>
      <w:tr>
        <w:trPr>
          <w:trHeight w:val="315" w:hRule="atLeast"/>
        </w:trPr>
        <w:tc>
          <w:tcPr>
            <w:tcW w:w="4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szCs w:val="20"/>
              </w:rPr>
              <w:t>сформирован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szCs w:val="20"/>
              </w:rPr>
              <w:t>(2,5-4,0 баллов)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szCs w:val="20"/>
              </w:rPr>
              <w:t>частично сформирован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szCs w:val="20"/>
              </w:rPr>
              <w:t>(2-2,49 баллов)</w:t>
            </w:r>
          </w:p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  <w:t>не сформирован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  <w:t>(менее 2 баллов)</w:t>
            </w:r>
          </w:p>
        </w:tc>
      </w:tr>
      <w:tr>
        <w:trPr>
          <w:trHeight w:val="315" w:hRule="atLeast"/>
        </w:trPr>
        <w:tc>
          <w:tcPr>
            <w:tcW w:w="41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  <w:t>%</w:t>
            </w:r>
          </w:p>
        </w:tc>
      </w:tr>
      <w:tr>
        <w:trPr>
          <w:trHeight w:val="315" w:hRule="atLeast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0"/>
                <w:szCs w:val="20"/>
              </w:rPr>
              <w:t xml:space="preserve">регуляторный компонент деятельности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0"/>
                <w:szCs w:val="20"/>
              </w:rPr>
              <w:t>81%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0"/>
                <w:szCs w:val="20"/>
              </w:rPr>
              <w:t>19%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0"/>
                <w:szCs w:val="20"/>
              </w:rPr>
              <w:t>предпосылки к учебной деятельности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0"/>
                <w:szCs w:val="20"/>
              </w:rPr>
              <w:t>86%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0"/>
                <w:szCs w:val="20"/>
              </w:rPr>
              <w:t>14%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0"/>
                <w:szCs w:val="20"/>
              </w:rPr>
              <w:t>пространственные представления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0"/>
                <w:szCs w:val="20"/>
              </w:rPr>
              <w:t>81%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0"/>
                <w:szCs w:val="20"/>
              </w:rPr>
              <w:t>19%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0"/>
                <w:szCs w:val="20"/>
              </w:rPr>
              <w:t>мыслительная  деятельность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0"/>
                <w:szCs w:val="20"/>
              </w:rPr>
              <w:t>90,5%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0"/>
                <w:szCs w:val="20"/>
              </w:rPr>
              <w:t>9,5%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Cs/>
                <w:sz w:val="20"/>
                <w:szCs w:val="20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результатам: дети, имеющие IV уровень развития, смогут усваивать программу повышенного уровня,  при условии выполнения предложенных рекомендаций. Дети, показавшие III уровень развития, имеют развитие соответствующее возрастной норме и могут усваивать программу общеобразовательной школы. По результатам  диагностики готовы к школьному обучению 21 человек.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определения уровня развития детей </w:t>
      </w:r>
      <w:r>
        <w:rPr>
          <w:rFonts w:ascii="Times New Roman" w:hAnsi="Times New Roman"/>
          <w:sz w:val="24"/>
          <w:szCs w:val="24"/>
          <w:u w:val="single"/>
        </w:rPr>
        <w:t xml:space="preserve">мониторинг достижения детьми планируемых результатов  освоения образовательной программы </w:t>
      </w:r>
      <w:r>
        <w:rPr>
          <w:rFonts w:ascii="Times New Roman" w:hAnsi="Times New Roman"/>
          <w:sz w:val="24"/>
          <w:szCs w:val="24"/>
        </w:rPr>
        <w:t xml:space="preserve">проводиться два раза в год, с целью определения степени освоения детьми образовательной программы и влияния образовательного процесса, организуемого в дошкольном учреждении.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обследовано 124 воспитанника.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проведения: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октябрь 2017 года;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апрель 2018 года.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информации основывался на использовании следующих методик: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систематические наблюдения;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специальной игровой деятельности;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получение ответов на поставленные задачи через педагогические ситуации;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анализ продуктов детской деятельности.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Данные о результатах мониторинга отражались в специальных таблицах развития ребенка.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Достижения детей оцениваются путем бесед, наблюдений, создания педагогических ситуаций, анализа работ продуктивной деятельности, организации игровой деятельности, специальных диагностических материалов. Данные о результатах мониторинга заносятся в таблицу развития ребенка.</w:t>
      </w:r>
    </w:p>
    <w:p>
      <w:pPr>
        <w:pStyle w:val="Normal"/>
        <w:widowControl w:val="false"/>
        <w:spacing w:lineRule="auto" w:line="240" w:before="0"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образовательного процесса, содержащий пять образовательных областей: «Социально- коммуникативное развитие», «Познавательное развитие», «Речевое развитие», «Художественно – эстетическое развитие», «Физическое развитие», позволил осуществить  комплексный подход к оценке уровня развития ребенка.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основе полученных результатов делаются  выводы, составляются рекомендации по организации индивидуальной работы для воспитателей, специалистов и родителей по дальнейшей работе.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Итоги мониторинга освоения программного материала  показали, что детьми всех возрастных групп материал по всем образовательным областям усвоен на разном уровне (результаты представлены в таблицах).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Вторая младшая группа №2</w:t>
      </w:r>
    </w:p>
    <w:tbl>
      <w:tblPr>
        <w:tblW w:w="5000" w:type="pct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13"/>
        <w:gridCol w:w="804"/>
        <w:gridCol w:w="1507"/>
        <w:gridCol w:w="1105"/>
        <w:gridCol w:w="1808"/>
        <w:gridCol w:w="2386"/>
        <w:gridCol w:w="1214"/>
      </w:tblGrid>
      <w:tr>
        <w:trPr/>
        <w:tc>
          <w:tcPr>
            <w:tcW w:w="1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Уровни диагностики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Социально-коммуникативное развитие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Художественно-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эстетическое развитие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Речевое развитие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Физическое развитие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Познавательное</w:t>
            </w:r>
          </w:p>
        </w:tc>
      </w:tr>
      <w:tr>
        <w:trPr/>
        <w:tc>
          <w:tcPr>
            <w:tcW w:w="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Входная диагностика (начало года)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Оптим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Высок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Низ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Итого, % качества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19,05%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19,05%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14,29%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9,52%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22,22%</w:t>
            </w:r>
          </w:p>
        </w:tc>
      </w:tr>
      <w:tr>
        <w:trPr/>
        <w:tc>
          <w:tcPr>
            <w:tcW w:w="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Итоговая диагностика (конец года)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Оптим.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Низк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Итого, % качества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38,1%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47,62%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33,33%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28,57%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57,89%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Вторая младшая №1</w:t>
      </w:r>
    </w:p>
    <w:tbl>
      <w:tblPr>
        <w:tblW w:w="5000" w:type="pct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12"/>
        <w:gridCol w:w="906"/>
        <w:gridCol w:w="1406"/>
        <w:gridCol w:w="1105"/>
        <w:gridCol w:w="1808"/>
        <w:gridCol w:w="2409"/>
        <w:gridCol w:w="1191"/>
      </w:tblGrid>
      <w:tr>
        <w:trPr/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Уровни диагностики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Социально-коммуникативное развитие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Художественно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-эстетическое развитие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Речевое развитие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Физическое развитие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Познавательное</w:t>
            </w:r>
          </w:p>
        </w:tc>
      </w:tr>
      <w:tr>
        <w:trPr/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Входная диагностика (начало года)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Оптим.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8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Высок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</w:tr>
      <w:tr>
        <w:trPr/>
        <w:tc>
          <w:tcPr>
            <w:tcW w:w="8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Сред.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</w:tr>
      <w:tr>
        <w:trPr/>
        <w:tc>
          <w:tcPr>
            <w:tcW w:w="8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Низк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8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</w:tr>
      <w:tr>
        <w:trPr/>
        <w:tc>
          <w:tcPr>
            <w:tcW w:w="8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Итого, % качества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35%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35%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61,54%</w:t>
            </w:r>
          </w:p>
        </w:tc>
      </w:tr>
      <w:tr>
        <w:trPr/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Итоговая диагностика (конец года)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Оптим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8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</w:tr>
      <w:tr>
        <w:trPr/>
        <w:tc>
          <w:tcPr>
            <w:tcW w:w="8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</w:tr>
      <w:tr>
        <w:trPr/>
        <w:tc>
          <w:tcPr>
            <w:tcW w:w="8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Низ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8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>
        <w:trPr/>
        <w:tc>
          <w:tcPr>
            <w:tcW w:w="8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Итого, % качества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30%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55%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45%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40%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66,67%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Средняя группа №2</w:t>
      </w:r>
    </w:p>
    <w:tbl>
      <w:tblPr>
        <w:tblW w:w="5000" w:type="pct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13"/>
        <w:gridCol w:w="1149"/>
        <w:gridCol w:w="1866"/>
        <w:gridCol w:w="1372"/>
        <w:gridCol w:w="2222"/>
        <w:gridCol w:w="1003"/>
        <w:gridCol w:w="1212"/>
      </w:tblGrid>
      <w:tr>
        <w:trPr/>
        <w:tc>
          <w:tcPr>
            <w:tcW w:w="1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Уровни диагностики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Социально-коммуникативное развитие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Физическое развитие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Речевое развитие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Познавательное развитие</w:t>
            </w:r>
          </w:p>
        </w:tc>
      </w:tr>
      <w:tr>
        <w:trPr/>
        <w:tc>
          <w:tcPr>
            <w:tcW w:w="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Входная диагностика (начало года)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Оптим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Низ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Итого, % качества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10,53%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10,53%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15,79%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10,53%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7,14%</w:t>
            </w:r>
          </w:p>
        </w:tc>
      </w:tr>
      <w:tr>
        <w:trPr/>
        <w:tc>
          <w:tcPr>
            <w:tcW w:w="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Итоговая диагностика (конец года)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Оптим.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Выс.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Низк.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Итого, % качества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15,79%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31,58%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42,11%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15,79%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61,54%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Средняя группа №1</w:t>
      </w:r>
    </w:p>
    <w:tbl>
      <w:tblPr>
        <w:tblW w:w="5000" w:type="pct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13"/>
        <w:gridCol w:w="1106"/>
        <w:gridCol w:w="1909"/>
        <w:gridCol w:w="1405"/>
        <w:gridCol w:w="2211"/>
        <w:gridCol w:w="1006"/>
        <w:gridCol w:w="1187"/>
      </w:tblGrid>
      <w:tr>
        <w:trPr/>
        <w:tc>
          <w:tcPr>
            <w:tcW w:w="1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Уровни диагностики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Социально-коммуникативное развитие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Физическое развитие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Речевое развитие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Познавательное развитие</w:t>
            </w:r>
          </w:p>
        </w:tc>
      </w:tr>
      <w:tr>
        <w:trPr/>
        <w:tc>
          <w:tcPr>
            <w:tcW w:w="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Входная диагностика (начало года)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Оптим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Высок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Низк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Итого, % качества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35%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35%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25%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35%</w:t>
            </w:r>
          </w:p>
        </w:tc>
      </w:tr>
      <w:tr>
        <w:trPr/>
        <w:tc>
          <w:tcPr>
            <w:tcW w:w="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Итоговая диагностика (конец года)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Оптим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Низк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</w:tr>
      <w:tr>
        <w:trPr/>
        <w:tc>
          <w:tcPr>
            <w:tcW w:w="8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Итого, % качества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55%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55%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30%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35%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Старшая группа </w:t>
      </w:r>
    </w:p>
    <w:tbl>
      <w:tblPr>
        <w:tblW w:w="5000" w:type="pct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199"/>
        <w:gridCol w:w="1193"/>
        <w:gridCol w:w="1817"/>
        <w:gridCol w:w="1026"/>
        <w:gridCol w:w="1997"/>
        <w:gridCol w:w="1191"/>
        <w:gridCol w:w="1214"/>
      </w:tblGrid>
      <w:tr>
        <w:trPr/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Уровни диагностики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Социально-коммуникативное развитие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Речевое развитие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Физическое развитие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Познавательное</w:t>
            </w:r>
          </w:p>
        </w:tc>
      </w:tr>
      <w:tr>
        <w:trPr/>
        <w:tc>
          <w:tcPr>
            <w:tcW w:w="11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Входная диагностика (начало года)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Оптим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119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</w:tr>
      <w:tr>
        <w:trPr/>
        <w:tc>
          <w:tcPr>
            <w:tcW w:w="119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</w:tr>
      <w:tr>
        <w:trPr/>
        <w:tc>
          <w:tcPr>
            <w:tcW w:w="119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Низк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</w:tr>
      <w:tr>
        <w:trPr/>
        <w:tc>
          <w:tcPr>
            <w:tcW w:w="119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</w:tr>
      <w:tr>
        <w:trPr/>
        <w:tc>
          <w:tcPr>
            <w:tcW w:w="119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Итого, % качества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66,67%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38,1%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57,14%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71,43%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73,68%</w:t>
            </w:r>
          </w:p>
        </w:tc>
      </w:tr>
      <w:tr>
        <w:trPr/>
        <w:tc>
          <w:tcPr>
            <w:tcW w:w="11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Итоговая диагностика (конец года)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Оптим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119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</w:tr>
      <w:tr>
        <w:trPr/>
        <w:tc>
          <w:tcPr>
            <w:tcW w:w="119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</w:tr>
      <w:tr>
        <w:trPr/>
        <w:tc>
          <w:tcPr>
            <w:tcW w:w="119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Низк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</w:tr>
      <w:tr>
        <w:trPr/>
        <w:tc>
          <w:tcPr>
            <w:tcW w:w="119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</w:tr>
      <w:tr>
        <w:trPr/>
        <w:tc>
          <w:tcPr>
            <w:tcW w:w="119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Итого, % качества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95,24%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90,48%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80,95%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76,19%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76,19%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Подготовительная группа</w:t>
      </w:r>
    </w:p>
    <w:tbl>
      <w:tblPr>
        <w:tblW w:w="5000" w:type="pct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198"/>
        <w:gridCol w:w="1190"/>
        <w:gridCol w:w="1817"/>
        <w:gridCol w:w="1028"/>
        <w:gridCol w:w="1999"/>
        <w:gridCol w:w="1216"/>
        <w:gridCol w:w="1189"/>
      </w:tblGrid>
      <w:tr>
        <w:trPr/>
        <w:tc>
          <w:tcPr>
            <w:tcW w:w="23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Уровни диагностики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Социально-коммуникативное развитие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Физическое развитие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Речевое развитие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Познавательное развитие</w:t>
            </w:r>
          </w:p>
        </w:tc>
      </w:tr>
      <w:tr>
        <w:trPr/>
        <w:tc>
          <w:tcPr>
            <w:tcW w:w="11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Входная диагностика (начало года)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Оптим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11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</w:tr>
      <w:tr>
        <w:trPr/>
        <w:tc>
          <w:tcPr>
            <w:tcW w:w="11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</w:tr>
      <w:tr>
        <w:trPr/>
        <w:tc>
          <w:tcPr>
            <w:tcW w:w="11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Низк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</w:tr>
      <w:tr>
        <w:trPr/>
        <w:tc>
          <w:tcPr>
            <w:tcW w:w="11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</w:tr>
      <w:tr>
        <w:trPr/>
        <w:tc>
          <w:tcPr>
            <w:tcW w:w="11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Итого, % качества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28,57%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85,71%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14,29%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28,57%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45%</w:t>
            </w:r>
          </w:p>
        </w:tc>
      </w:tr>
      <w:tr>
        <w:trPr/>
        <w:tc>
          <w:tcPr>
            <w:tcW w:w="11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Итоговая диагностика (конец года)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Оптим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11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Высок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</w:tr>
      <w:tr>
        <w:trPr/>
        <w:tc>
          <w:tcPr>
            <w:tcW w:w="11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</w:tr>
      <w:tr>
        <w:trPr/>
        <w:tc>
          <w:tcPr>
            <w:tcW w:w="11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Низк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</w:tr>
      <w:tr>
        <w:trPr/>
        <w:tc>
          <w:tcPr>
            <w:tcW w:w="11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</w:tr>
      <w:tr>
        <w:trPr/>
        <w:tc>
          <w:tcPr>
            <w:tcW w:w="11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Итого, % качества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85,71%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80,95%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85,71%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85,71%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4D0C8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47,62%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09"/>
          <w:tab w:val="left" w:pos="851" w:leader="none"/>
        </w:tabs>
        <w:spacing w:lineRule="auto" w:line="240" w:before="0" w:after="0"/>
        <w:rPr>
          <w:rFonts w:ascii="Times New Roman" w:hAnsi="Times New Roman"/>
          <w:color w:val="000000"/>
          <w:sz w:val="24"/>
          <w:szCs w:val="24"/>
          <w:shd w:fill="F6F6F6" w:val="clear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Воспитанники   и воспитатели ДОУ в течение учебного года стали активными участникам</w:t>
      </w:r>
      <w:r>
        <w:rPr>
          <w:rFonts w:ascii="Times New Roman" w:hAnsi="Times New Roman"/>
          <w:color w:val="000000"/>
          <w:sz w:val="24"/>
          <w:szCs w:val="24"/>
          <w:shd w:fill="F6F6F6" w:val="clear"/>
        </w:rPr>
        <w:t xml:space="preserve">и </w:t>
      </w:r>
      <w:r>
        <w:rPr>
          <w:rFonts w:ascii="Times New Roman" w:hAnsi="Times New Roman"/>
          <w:color w:val="000000"/>
          <w:sz w:val="24"/>
          <w:szCs w:val="24"/>
        </w:rPr>
        <w:t>очных районных, республиканских и региональных конкурсов:</w:t>
      </w:r>
    </w:p>
    <w:p>
      <w:pPr>
        <w:pStyle w:val="Normal"/>
        <w:spacing w:lineRule="auto" w:line="240" w:before="0" w:after="0"/>
        <w:ind w:right="-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ДОУ Дипломант Республиканского конкурса театрального искусства «Сайяр».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right="-6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Воспитанница Галиева А.И., победитель республиканского конкурса исследовательских работ «Я познаю мир» г.Набережные Челны.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right="-6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Воспитанница Мусина З.Н. , победитель республиканского конкурса «Әдәбитуган як” г. Мензелинск.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right="-6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Воспитанник Мингазов С.И., призер республиканского конкурса научно-исследовательских работ им. Б.Урманче. г.Казань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right="-6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Ансамбли ДОУ стали лауреатом  районного конкурса стихов и песен о маме;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right="-6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Воспитанники ДОУ стали лауреатами районного конкурса стихов и песен о маме;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right="-6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Танцевальные группы ДОУ стали лауреатами районного конкурса танцев «Шома бас»;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системной  работы коллектива детского сада отмечена определенная тенденция снижения заболеваемости. </w:t>
      </w:r>
    </w:p>
    <w:p>
      <w:pPr>
        <w:pStyle w:val="Normal"/>
        <w:spacing w:lineRule="auto" w:line="240"/>
        <w:ind w:right="-1" w:firstLine="709"/>
        <w:jc w:val="both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Показатели пропущенных дней по болезни одним ребенком по годам</w:t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4"/>
        <w:gridCol w:w="1302"/>
        <w:gridCol w:w="1692"/>
        <w:gridCol w:w="1695"/>
        <w:gridCol w:w="1615"/>
        <w:gridCol w:w="1769"/>
      </w:tblGrid>
      <w:tr>
        <w:trPr>
          <w:trHeight w:val="201" w:hRule="atLeast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ind w:right="-1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2015 -2016 уч. г</w:t>
            </w:r>
          </w:p>
        </w:tc>
        <w:tc>
          <w:tcPr>
            <w:tcW w:w="3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ind w:right="-1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2016-2017 уч. г.</w:t>
            </w:r>
          </w:p>
        </w:tc>
        <w:tc>
          <w:tcPr>
            <w:tcW w:w="3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ind w:right="-1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2017-2018 уч.год</w:t>
            </w:r>
          </w:p>
        </w:tc>
      </w:tr>
      <w:tr>
        <w:trPr>
          <w:trHeight w:val="616" w:hRule="atLeast"/>
          <w:cantSplit w:val="true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ind w:right="-1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детскому саду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ind w:left="113" w:right="-1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ind w:right="-1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детскому саду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ind w:left="113" w:right="-1" w:firstLine="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ind w:right="-1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детскому саду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ind w:left="113" w:right="-1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</w:tr>
      <w:tr>
        <w:trPr/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ind w:right="-1"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ind w:right="-1" w:firstLine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ind w:right="-1" w:firstLine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ind w:right="-1" w:firstLine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ind w:right="-1" w:firstLine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  <w:tab/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ind w:right="-1" w:firstLine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</w:tbl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Количество дней, пропущенных по болезни одним ребенком в год, показывает следующие результаты  2015-2016 уч. году-3,4, 2016-2017 уч. году-3,4, в 2017-2018 уч.году 2,4. Следовательно, работа по формированию здорового образа жизни в детском саду ведется целенаправленно и комплексно.</w:t>
      </w:r>
    </w:p>
    <w:p>
      <w:pPr>
        <w:pStyle w:val="Normal"/>
        <w:ind w:firstLine="709"/>
        <w:jc w:val="center"/>
        <w:rPr/>
      </w:pPr>
      <w:r>
        <w:rPr/>
        <w:drawing>
          <wp:inline distT="0" distB="0" distL="0" distR="0">
            <wp:extent cx="4596130" cy="1656080"/>
            <wp:effectExtent l="0" t="0" r="0" b="0"/>
            <wp:docPr id="2" name="Диаграмма 1" descr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pStyle w:val="ListParagraph"/>
        <w:widowControl w:val="false"/>
        <w:numPr>
          <w:ilvl w:val="0"/>
          <w:numId w:val="2"/>
        </w:numPr>
        <w:spacing w:before="0" w:after="0"/>
        <w:ind w:left="720" w:right="206" w:hanging="360"/>
        <w:contextualSpacing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Раздел</w:t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0" w:right="206" w:hanging="0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КАДРОВЫЙ ПОТЕНЦИАЛ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укомплектован педагогическими работниками согласно штатному расписанию на 100%. Образовательный уровень педагогов представлен следующими показателями: в  2024</w:t>
      </w:r>
      <w:r>
        <w:rPr>
          <w:rFonts w:ascii="Times New Roman" w:hAnsi="Times New Roman"/>
          <w:sz w:val="24"/>
          <w:szCs w:val="24"/>
        </w:rPr>
        <w:t>2025 у.</w:t>
      </w:r>
      <w:r>
        <w:rPr>
          <w:rFonts w:ascii="Times New Roman" w:hAnsi="Times New Roman"/>
          <w:sz w:val="24"/>
          <w:szCs w:val="24"/>
        </w:rPr>
        <w:t xml:space="preserve">году педагогический коллектив состоял  из 15  человек, из них: старший воспитатель – 1 человек, воспитателей - 9; специалистов – 5 человека (1 воспитатель по обучению татарскому языку, 1 учитель–логопед, 1 инструктор по физической культуре, 1 музыкальный руководитель,1 учитель английского языка).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Стаж работы</w:t>
      </w:r>
    </w:p>
    <w:tbl>
      <w:tblPr>
        <w:tblStyle w:val="af5"/>
        <w:tblW w:w="957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14"/>
        <w:gridCol w:w="1914"/>
        <w:gridCol w:w="1914"/>
        <w:gridCol w:w="1914"/>
        <w:gridCol w:w="1915"/>
      </w:tblGrid>
      <w:tr>
        <w:trPr/>
        <w:tc>
          <w:tcPr>
            <w:tcW w:w="1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Всего педагогов</w:t>
            </w:r>
          </w:p>
        </w:tc>
        <w:tc>
          <w:tcPr>
            <w:tcW w:w="1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От 1 до 5 лет</w:t>
            </w:r>
          </w:p>
        </w:tc>
        <w:tc>
          <w:tcPr>
            <w:tcW w:w="1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От 5 до 20 лет</w:t>
            </w:r>
          </w:p>
        </w:tc>
        <w:tc>
          <w:tcPr>
            <w:tcW w:w="19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Свыше 20 лет</w:t>
            </w:r>
          </w:p>
        </w:tc>
      </w:tr>
      <w:tr>
        <w:trPr/>
        <w:tc>
          <w:tcPr>
            <w:tcW w:w="1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Количество/%</w:t>
            </w:r>
          </w:p>
        </w:tc>
        <w:tc>
          <w:tcPr>
            <w:tcW w:w="1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15/100</w:t>
            </w:r>
          </w:p>
        </w:tc>
        <w:tc>
          <w:tcPr>
            <w:tcW w:w="1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1/6,7</w:t>
            </w:r>
          </w:p>
        </w:tc>
        <w:tc>
          <w:tcPr>
            <w:tcW w:w="1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8/40</w:t>
            </w:r>
          </w:p>
        </w:tc>
        <w:tc>
          <w:tcPr>
            <w:tcW w:w="19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5/53,3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Уровень квалификации</w:t>
      </w:r>
    </w:p>
    <w:tbl>
      <w:tblPr>
        <w:tblStyle w:val="af5"/>
        <w:tblW w:w="951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49"/>
        <w:gridCol w:w="1166"/>
        <w:gridCol w:w="1874"/>
        <w:gridCol w:w="2087"/>
        <w:gridCol w:w="1813"/>
        <w:gridCol w:w="1020"/>
      </w:tblGrid>
      <w:tr>
        <w:trPr/>
        <w:tc>
          <w:tcPr>
            <w:tcW w:w="1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Всего педагогов</w:t>
            </w:r>
          </w:p>
        </w:tc>
        <w:tc>
          <w:tcPr>
            <w:tcW w:w="11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Высшая квалификационная категория</w:t>
            </w:r>
          </w:p>
        </w:tc>
        <w:tc>
          <w:tcPr>
            <w:tcW w:w="20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первая квалификационная категория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Соответствие занимаемой должности</w:t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Без категории</w:t>
            </w:r>
          </w:p>
        </w:tc>
      </w:tr>
      <w:tr>
        <w:trPr/>
        <w:tc>
          <w:tcPr>
            <w:tcW w:w="1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Количество/%</w:t>
            </w:r>
          </w:p>
        </w:tc>
        <w:tc>
          <w:tcPr>
            <w:tcW w:w="11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15/100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10/67</w:t>
            </w:r>
          </w:p>
        </w:tc>
        <w:tc>
          <w:tcPr>
            <w:tcW w:w="20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5/33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0/0</w:t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0/0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Уровень образования</w:t>
      </w:r>
    </w:p>
    <w:tbl>
      <w:tblPr>
        <w:tblStyle w:val="af5"/>
        <w:tblW w:w="985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34"/>
        <w:gridCol w:w="1876"/>
        <w:gridCol w:w="1865"/>
        <w:gridCol w:w="1886"/>
        <w:gridCol w:w="1892"/>
      </w:tblGrid>
      <w:tr>
        <w:trPr/>
        <w:tc>
          <w:tcPr>
            <w:tcW w:w="2334" w:type="dxa"/>
            <w:tcBorders/>
          </w:tcPr>
          <w:tbl>
            <w:tblPr>
              <w:tblW w:w="2118" w:type="dxa"/>
              <w:jc w:val="left"/>
              <w:tblInd w:w="324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1229"/>
              <w:gridCol w:w="223"/>
              <w:gridCol w:w="222"/>
              <w:gridCol w:w="222"/>
              <w:gridCol w:w="222"/>
            </w:tblGrid>
            <w:tr>
              <w:trPr>
                <w:trHeight w:val="247" w:hRule="atLeast"/>
              </w:trPr>
              <w:tc>
                <w:tcPr>
                  <w:tcW w:w="1229" w:type="dxa"/>
                  <w:tcBorders/>
                </w:tcPr>
                <w:p>
                  <w:pPr>
                    <w:pStyle w:val="Default"/>
                    <w:widowControl w:val="false"/>
                    <w:jc w:val="both"/>
                    <w:rPr/>
                  </w:pPr>
                  <w:r>
                    <w:rPr/>
                    <w:t>Всего педагогов</w:t>
                  </w:r>
                </w:p>
              </w:tc>
              <w:tc>
                <w:tcPr>
                  <w:tcW w:w="223" w:type="dxa"/>
                  <w:tcBorders/>
                </w:tcPr>
                <w:p>
                  <w:pPr>
                    <w:pStyle w:val="Default"/>
                    <w:widowControl w:val="false"/>
                    <w:jc w:val="both"/>
                    <w:rPr/>
                  </w:pPr>
                  <w:r>
                    <w:rPr/>
                  </w:r>
                </w:p>
              </w:tc>
              <w:tc>
                <w:tcPr>
                  <w:tcW w:w="222" w:type="dxa"/>
                  <w:tcBorders/>
                </w:tcPr>
                <w:p>
                  <w:pPr>
                    <w:pStyle w:val="Default"/>
                    <w:widowControl w:val="false"/>
                    <w:jc w:val="both"/>
                    <w:rPr/>
                  </w:pPr>
                  <w:r>
                    <w:rPr/>
                  </w:r>
                </w:p>
              </w:tc>
              <w:tc>
                <w:tcPr>
                  <w:tcW w:w="222" w:type="dxa"/>
                  <w:tcBorders/>
                </w:tcPr>
                <w:p>
                  <w:pPr>
                    <w:pStyle w:val="Default"/>
                    <w:widowControl w:val="false"/>
                    <w:jc w:val="both"/>
                    <w:rPr/>
                  </w:pPr>
                  <w:r>
                    <w:rPr/>
                  </w:r>
                </w:p>
              </w:tc>
              <w:tc>
                <w:tcPr>
                  <w:tcW w:w="222" w:type="dxa"/>
                  <w:tcBorders/>
                </w:tcPr>
                <w:p>
                  <w:pPr>
                    <w:pStyle w:val="Default"/>
                    <w:widowControl w:val="false"/>
                    <w:jc w:val="both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Всего педагогов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18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Средне - профес-сиональное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Без образования</w:t>
            </w:r>
          </w:p>
        </w:tc>
      </w:tr>
      <w:tr>
        <w:trPr/>
        <w:tc>
          <w:tcPr>
            <w:tcW w:w="2334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Количество/%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15/100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15/100</w:t>
            </w:r>
          </w:p>
        </w:tc>
        <w:tc>
          <w:tcPr>
            <w:tcW w:w="18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0/0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0/0</w:t>
            </w:r>
          </w:p>
        </w:tc>
      </w:tr>
    </w:tbl>
    <w:p>
      <w:pPr>
        <w:pStyle w:val="Default"/>
        <w:jc w:val="both"/>
        <w:rPr/>
      </w:pPr>
      <w:r>
        <w:rPr/>
      </w:r>
    </w:p>
    <w:p>
      <w:pPr>
        <w:pStyle w:val="Default"/>
        <w:ind w:firstLine="567"/>
        <w:jc w:val="both"/>
        <w:rPr/>
      </w:pPr>
      <w:r>
        <w:rPr/>
        <w:t xml:space="preserve">Большинство педагогов имеют стаж работы более 5 лет, они имеют опыт педагогической деятельности. В своей деятельности педагоги используют наряду с традиционными методами работы с воспитанниками и инновационные образовательные технологии и методики, которые способствуют формированию у детей ключевых компетенций, что способствует их успешности в современном обществе. </w:t>
      </w:r>
    </w:p>
    <w:p>
      <w:pPr>
        <w:pStyle w:val="Default"/>
        <w:jc w:val="both"/>
        <w:rPr/>
      </w:pPr>
      <w:r>
        <w:rPr/>
        <w:t>В процессе образовательной деятельности происходит систематический, регулярный обмен опытом педагогов. Воспитатели и специалисты принимают участие в проводимых в семинарах, мастер-классах, педагогических советах, конкурсах и смотрах-конкурсах и конкурсах городского и муниципального уровней.</w:t>
      </w:r>
    </w:p>
    <w:p>
      <w:pPr>
        <w:pStyle w:val="Default"/>
        <w:jc w:val="both"/>
        <w:rPr/>
      </w:pPr>
      <w:r>
        <w:rPr/>
        <w:t xml:space="preserve">Каждый педагог в течение года работает по определенной теме по самообразованию, с учетом индивидуального опыта и профессионального мастерства.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Все педагоги, своевременно, в течении 3-х лет, проходят курсы повышения квалификации и имеют удостоверения.  </w:t>
      </w:r>
    </w:p>
    <w:p>
      <w:pPr>
        <w:pStyle w:val="ListParagraph"/>
        <w:widowControl w:val="false"/>
        <w:numPr>
          <w:ilvl w:val="0"/>
          <w:numId w:val="2"/>
        </w:numPr>
        <w:spacing w:before="0" w:after="0"/>
        <w:ind w:left="720" w:right="206" w:hanging="360"/>
        <w:contextualSpacing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Раздел</w:t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0" w:right="206" w:hanging="0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ФИНАНСОВЫЕ РЕСУРСЫ МБДОУ И ИХ ИСПОЛЬЗОВАНИЕ</w:t>
      </w:r>
    </w:p>
    <w:p>
      <w:pPr>
        <w:pStyle w:val="Normal"/>
        <w:spacing w:before="0" w:after="0"/>
        <w:ind w:firstLine="567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Финансовое и материально - техническое обеспечение деятельности ДОУ проводится в соответствии муниципальным заданием  и  требованиями к условиям реализации  образовательной программы дошкольного учреждения и .</w:t>
      </w:r>
    </w:p>
    <w:p>
      <w:pPr>
        <w:pStyle w:val="Normal"/>
        <w:spacing w:before="0" w:after="0"/>
        <w:ind w:firstLine="567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Финансово-хозяйственная деятельность ДОУ направлена на реализацию её устав</w:t>
        <w:softHyphen/>
        <w:t>ных целей и задач. 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>
      <w:pPr>
        <w:pStyle w:val="Normal"/>
        <w:spacing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    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Финансовое обеспечение деятельности ДОУ осуществляется в соответствии с законодательством. Источниками формирования имущества и финансовых ресурсов ДОУ являются:</w:t>
      </w:r>
    </w:p>
    <w:p>
      <w:pPr>
        <w:pStyle w:val="Normal"/>
        <w:numPr>
          <w:ilvl w:val="0"/>
          <w:numId w:val="7"/>
        </w:numPr>
        <w:spacing w:before="0" w:after="0"/>
        <w:ind w:left="0" w:hanging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собственные средства Учредителя;</w:t>
      </w:r>
    </w:p>
    <w:p>
      <w:pPr>
        <w:pStyle w:val="Normal"/>
        <w:numPr>
          <w:ilvl w:val="0"/>
          <w:numId w:val="7"/>
        </w:numPr>
        <w:spacing w:before="0" w:after="0"/>
        <w:ind w:left="0" w:hanging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бюджетные средства;</w:t>
      </w:r>
    </w:p>
    <w:p>
      <w:pPr>
        <w:pStyle w:val="Normal"/>
        <w:numPr>
          <w:ilvl w:val="0"/>
          <w:numId w:val="7"/>
        </w:numPr>
        <w:spacing w:before="0" w:after="0"/>
        <w:ind w:left="0" w:hanging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имущество, закрепленное за учреждением;</w:t>
      </w:r>
    </w:p>
    <w:p>
      <w:pPr>
        <w:pStyle w:val="Normal"/>
        <w:numPr>
          <w:ilvl w:val="0"/>
          <w:numId w:val="7"/>
        </w:numPr>
        <w:spacing w:before="0" w:after="0"/>
        <w:ind w:left="0" w:hanging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добровольные пожертвования физических и юридических лиц;</w:t>
      </w:r>
    </w:p>
    <w:p>
      <w:pPr>
        <w:pStyle w:val="Normal"/>
        <w:numPr>
          <w:ilvl w:val="0"/>
          <w:numId w:val="7"/>
        </w:numPr>
        <w:spacing w:before="0" w:after="0"/>
        <w:ind w:left="0" w:hanging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другие источники в соответствии с законодательством Российской Федерации.</w:t>
      </w:r>
    </w:p>
    <w:p>
      <w:pPr>
        <w:pStyle w:val="Normal"/>
        <w:spacing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  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Порядок поступления денежных средств (регулярных или единовременных) от Учредителя определяется сметой доходов и расходов ДОУ, составляемой на каждый финансовый год и утверждаемый Учредителем, в порядке, установленном действующим бюджетным законодательством Российской Федерации.</w:t>
      </w:r>
    </w:p>
    <w:p>
      <w:pPr>
        <w:pStyle w:val="Normal"/>
        <w:spacing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     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Расходование бюджетных средств ДОУ производится исключительно в порядке и на условиях, установленных законодательством Российской Федерации, нормативными правовыми актами органов местного самоуправления муниципального образования. Средства, выделяемые на содержание ДОУ в рамках доведенного муниципального задания на очередной финансовый год должны обеспечивать возмещение затрат на осуществление её основной деятельности, на выплату заработной платы, отчисления во внебюджетные фонды, расчеты с организациями, создание и укрепление материально-технической базы.</w:t>
      </w:r>
    </w:p>
    <w:p>
      <w:pPr>
        <w:pStyle w:val="Normal"/>
        <w:spacing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     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В плане финансово-хозяйственной деятельности ДОУ отражаются все показатели по поступлениям и выплатам учреждения, производимых из средств регионального и местного бюджета.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   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ДОУ владеет, пользуется и распоряжается имуществом, закрепленным на праве оперативного управления в пределах, установленных Законом, в соответствии с целями своей деятельности, заданиями собственника этого имущества и назначением этого имущества.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    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Деятельность ДОУ финансируется в соответствии с законодательством на основе нормативов, установленных законодательством Российской Федерации, нормативно-правовыми актами Республики Татарстан, Кукморского муниципального района.</w:t>
      </w:r>
    </w:p>
    <w:p>
      <w:pPr>
        <w:pStyle w:val="Normal"/>
        <w:spacing w:before="0" w:after="0"/>
        <w:jc w:val="center"/>
        <w:rPr>
          <w:b/>
          <w:bCs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ru-RU"/>
        </w:rPr>
        <w:t>ОТЧЕТ  О ФИНАНСОВЫХ РЕЗУЛЬТАТАХ ДЕЯТЕЛЬНОСТИ за 2024 год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tbl>
      <w:tblPr>
        <w:tblW w:w="9596" w:type="dxa"/>
        <w:jc w:val="left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030"/>
        <w:gridCol w:w="570"/>
        <w:gridCol w:w="914"/>
        <w:gridCol w:w="1186"/>
        <w:gridCol w:w="1364"/>
        <w:gridCol w:w="1381"/>
        <w:gridCol w:w="1150"/>
      </w:tblGrid>
      <w:tr>
        <w:trPr>
          <w:trHeight w:val="630" w:hRule="atLeast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eastAsia="Times New Roman" w:ascii="Liberation Serif" w:hAnsi="Liberation Serif"/>
                <w:color w:val="000000"/>
                <w:sz w:val="16"/>
                <w:szCs w:val="16"/>
                <w:lang w:eastAsia="ru-RU"/>
              </w:rPr>
              <w:t>Н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аименование показателя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Код аналитики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Деятельность с целевыми средствами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Деятельность по государственному заданию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Приносящая доход деятельность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Итого</w:t>
            </w:r>
          </w:p>
        </w:tc>
      </w:tr>
      <w:tr>
        <w:trPr>
          <w:trHeight w:val="21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7</w:t>
            </w:r>
          </w:p>
        </w:tc>
      </w:tr>
      <w:tr>
        <w:trPr>
          <w:trHeight w:val="592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Доходы (стр.030 + стр.040 + стр.050 + стр.060 + стр.070 + стр.090 + стр.100 +стр.110)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143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19 284 846,26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143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3 296 186,23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143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22 581 032,49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Доходы от собственности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030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</w:tr>
      <w:tr>
        <w:trPr>
          <w:trHeight w:val="569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Доходы от оказания платных услуг (работ), компенсаций затрат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040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19 111 407,79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3 300 285,48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22 411 693,27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</w:tr>
      <w:tr>
        <w:trPr>
          <w:trHeight w:val="515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19 111 407,79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3 300 285,48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22 411 693,27</w:t>
            </w:r>
          </w:p>
        </w:tc>
      </w:tr>
      <w:tr>
        <w:trPr>
          <w:trHeight w:val="24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Штрафы, пени, неустойки,возмещения ущерба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050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1 000,00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1 000,00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Страховые возмещения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1 000,00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1 000,00</w:t>
            </w:r>
          </w:p>
        </w:tc>
      </w:tr>
      <w:tr>
        <w:trPr>
          <w:trHeight w:val="565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Безвозмездные поступления текущего характера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060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-5 310,00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-5 310,00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</w:tr>
      <w:tr>
        <w:trPr>
          <w:trHeight w:val="92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Поступления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-5 310,00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-5 310,00</w:t>
            </w:r>
          </w:p>
        </w:tc>
      </w:tr>
      <w:tr>
        <w:trPr>
          <w:trHeight w:val="51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Безвозмездные поступления капитального характера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070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Доходы от операций с активами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090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163 944,10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163 944,10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Доходы от выбытия активов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163 944,10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163 944,10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Прочие доходы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210,75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210,75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Иные доходы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210,75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210,75</w:t>
            </w:r>
          </w:p>
        </w:tc>
      </w:tr>
      <w:tr>
        <w:trPr>
          <w:trHeight w:val="56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Безвозмездные неденежные поступления в сектор государственного управления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9 494,37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9 494,37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</w:tr>
      <w:tr>
        <w:trPr>
          <w:trHeight w:val="1025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Безвозмездные неденежные поступления капитального характера от организаций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9 494,37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9 494,37</w:t>
            </w:r>
          </w:p>
        </w:tc>
      </w:tr>
      <w:tr>
        <w:trPr>
          <w:trHeight w:val="615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Расходы (стр.160 + стр.170 + стр. 190 + стр.210 + стр. 230 + стр. 240 + стр. 250+ стр. 260 + стр.270)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19 586 890,33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3 233 009,07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22 819 899,40</w:t>
            </w:r>
          </w:p>
        </w:tc>
      </w:tr>
      <w:tr>
        <w:trPr>
          <w:trHeight w:val="51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15 132 740,07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2 600 513,22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17 733 253,29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11 696 246,55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2 011 652,48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13 707 899,03</w:t>
            </w:r>
          </w:p>
        </w:tc>
      </w:tr>
      <w:tr>
        <w:trPr>
          <w:trHeight w:val="46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Прочие несоциальные выплаты персоналу в денежной форме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2 600,00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2 600,00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3 433 893,52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588 860,74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4 022 754,26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4 153 010,80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458 585,70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4 611 596,50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15 275,28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15 275,28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824 880,06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824 880,06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3 180 397,82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458 585,70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3 638 983,52</w:t>
            </w:r>
          </w:p>
        </w:tc>
      </w:tr>
      <w:tr>
        <w:trPr>
          <w:trHeight w:val="51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132 457,64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132 457,64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Обслуживание долговых обязательств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</w:tr>
      <w:tr>
        <w:trPr>
          <w:trHeight w:val="46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Безвозмездные перечисления текущего характера организациям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32 070,19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32 070,19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</w:tr>
      <w:tr>
        <w:trPr>
          <w:trHeight w:val="68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Безвозмездные перечисления (передачи) текущего характера сектора государственного управления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32 070,19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32 070,19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Социальное обеспечение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36 570,15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36 570,15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</w:tr>
      <w:tr>
        <w:trPr>
          <w:trHeight w:val="46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36 570,15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36 570,15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Расходы по операциям с активами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134 024,12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173 910,15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307 934,27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Амортизация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145 360,49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55 973,83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201 334,32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Расходование материальных запасов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-11 336,37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117 936,32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106 599,95</w:t>
            </w:r>
          </w:p>
        </w:tc>
      </w:tr>
      <w:tr>
        <w:trPr>
          <w:trHeight w:val="62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Безвозмездные перечисления капитального характера организациям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98 475,00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98 475,00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Налоги, пошлины и сборы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97 475,00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97 475,00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Другие экономические санкции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1 000,00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1 000,00</w:t>
            </w:r>
          </w:p>
        </w:tc>
      </w:tr>
      <w:tr>
        <w:trPr>
          <w:trHeight w:val="505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Чистый операционный результат (стр.301 - стр.302); (стр.310 + стр.410)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-302 044,07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63 177,16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-238 866,91</w:t>
            </w:r>
          </w:p>
        </w:tc>
      </w:tr>
      <w:tr>
        <w:trPr>
          <w:trHeight w:val="57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Операционный результат до налогообложения (стр.010 - стр.150)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-302 044,07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63 177,16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-238 866,91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Налог на прибыль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86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Операции с нефинансовыми активами (стр.320 + стр.330 + стр.350 + стр.360 + стр.370 + стр.380 + стр.390 + стр.395 + стр.400)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6 879,65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-29 806,16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-22 926,51</w:t>
            </w:r>
          </w:p>
        </w:tc>
      </w:tr>
      <w:tr>
        <w:trPr>
          <w:trHeight w:val="340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Чистое поступление основных средств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-107 942,12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-55 973,83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-163 915,95</w:t>
            </w:r>
          </w:p>
        </w:tc>
      </w:tr>
      <w:tr>
        <w:trPr>
          <w:trHeight w:val="725" w:hRule="exac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в том числе:  </w:t>
              <w:br/>
              <w:t xml:space="preserve">        увеличение стоимости основных средств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205 862,47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30 250,00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236 112,47</w:t>
            </w:r>
          </w:p>
        </w:tc>
      </w:tr>
      <w:tr>
        <w:trPr>
          <w:trHeight w:val="24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уменьшение стоимости основных средств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41Х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313 804,59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86 223,83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400 028,42</w:t>
            </w:r>
          </w:p>
        </w:tc>
      </w:tr>
      <w:tr>
        <w:trPr>
          <w:trHeight w:val="24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Чистое поступление нематериальных активов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в том числе:  </w:t>
              <w:br/>
              <w:t xml:space="preserve">        увеличение стоимости нематериальных активов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уменьшение стоимости нематериальных активов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42Х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Чистое поступление непроизведенных активов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в том числе:  </w:t>
              <w:br/>
              <w:t xml:space="preserve">        увеличение стоимости непроизведенных активов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уменьшение стоимости непроизведенных активов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43Х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Чистое поступление материальных запасов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114 821,77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26 167,67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140 989,44</w:t>
            </w:r>
          </w:p>
        </w:tc>
      </w:tr>
      <w:tr>
        <w:trPr>
          <w:trHeight w:val="40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в том числе:  </w:t>
              <w:br/>
              <w:t xml:space="preserve">        увеличение стоимости материальных запасов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3 098 788,44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144 103,99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3 242 892,43</w:t>
            </w:r>
          </w:p>
        </w:tc>
      </w:tr>
      <w:tr>
        <w:trPr>
          <w:trHeight w:val="43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из них:  увеличение стоимости материальных запасов для целей капитальных  вложений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347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уменьшение стоимости материальных запасов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2 983 966,67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117 936,32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3 101 902,99</w:t>
            </w:r>
          </w:p>
        </w:tc>
      </w:tr>
      <w:tr>
        <w:trPr>
          <w:trHeight w:val="45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из них:  уменьшение стоимости материальных запасов для целей капитальных  вложений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447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Чистое поступление прав пользования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  <w:br/>
              <w:t xml:space="preserve">         увеличение стоимости прав пользования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35Х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уменьшение стоимости прав пользования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45Х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Чистое поступление биологических активов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  <w:br/>
              <w:t xml:space="preserve">         увеличение стоимости биологических активов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уменьшение стоимости биологических активов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46Х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Чистое изменение затрат на изготовление готовой продукции (работ, услуг)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  <w:br/>
              <w:t xml:space="preserve">         увеличение затрат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391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уменьшение затрат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392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Чистое изменение затрат на биотрансформацию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  <w:br/>
              <w:t xml:space="preserve">         увеличение затрат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396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уменьшение затрат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397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Чистое изменение расходов будущих периодов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Операции с финансовыми активами и обязательствами (стр.420 - стр.510)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-308 923,72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92 983,32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-215 940,40</w:t>
            </w:r>
          </w:p>
        </w:tc>
      </w:tr>
      <w:tr>
        <w:trPr>
          <w:trHeight w:val="64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Операции с финансовыми активами   </w:t>
              <w:br/>
              <w:t>(стр.430+ стр.440 + стр.450 + стр.460 + стр. 470 + стр.480)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77 595,51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93 972,57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171 568,08</w:t>
            </w:r>
          </w:p>
        </w:tc>
      </w:tr>
      <w:tr>
        <w:trPr>
          <w:trHeight w:val="25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Чистое поступление денежных средств и их эквивалентов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430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-78 175,75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4 194,99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-73 980,76</w:t>
            </w:r>
          </w:p>
        </w:tc>
      </w:tr>
      <w:tr>
        <w:trPr>
          <w:trHeight w:val="42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в том числе:  </w:t>
              <w:br/>
              <w:t xml:space="preserve">       поступление денежных средств и их эквивалентов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431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19 111 407,79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3 269 988,77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22 381 396,56</w:t>
            </w:r>
          </w:p>
        </w:tc>
      </w:tr>
      <w:tr>
        <w:trPr>
          <w:trHeight w:val="28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выбытие денежных средств и их эквивалентов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19 189 583,54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3 265 793,78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22 455 377,32</w:t>
            </w:r>
          </w:p>
        </w:tc>
      </w:tr>
      <w:tr>
        <w:trPr>
          <w:trHeight w:val="25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Чистое поступление ценных бумаг, кроме акций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67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в том числе:  </w:t>
              <w:br/>
              <w:t>увеличение стоимости ценных бумаг, кроме акций и иных финансовых  инструментов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441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уменьшение стоимости ценных бумаг, кроме акций и иных финансовых инструментов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Чистое поступление акций и иных финансовых инструментов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  <w:br/>
              <w:t>увеличение стоимости акций и иных финансовых инструментов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530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уменьшение стоимости акций и иных финансовых инструментов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452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Чистое предоставление займов (ссуд)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в том числе:  </w:t>
              <w:br/>
              <w:t xml:space="preserve">        увеличение задолженности по  предоставленным займам (ссудам)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уменьшение задолженности по  предоставленным займам (ссудам)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Чистое поступление иных финансовых активов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в том числе:  </w:t>
              <w:br/>
              <w:t xml:space="preserve">        увеличение стоимости иных финансовых активов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471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уменьшение стоимости иных финансовых активов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Чистое увеличение дебиторской задолженности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480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155 771,26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89 777,58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245 548,84</w:t>
            </w:r>
          </w:p>
        </w:tc>
      </w:tr>
      <w:tr>
        <w:trPr>
          <w:trHeight w:val="42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в том числе:  </w:t>
              <w:br/>
              <w:t xml:space="preserve">        увеличение дебиторской задолженности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20 126 083,34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3 428 312,35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23 554 395,69</w:t>
            </w:r>
          </w:p>
        </w:tc>
      </w:tr>
      <w:tr>
        <w:trPr>
          <w:trHeight w:val="25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уменьшение дебиторской задолженности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482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660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19 970 312,08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3 338 534,77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23 308 846,85</w:t>
            </w:r>
          </w:p>
        </w:tc>
      </w:tr>
      <w:tr>
        <w:trPr>
          <w:trHeight w:val="42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Операции с обязательствами (стр.520 + стр.530 + стр.540 + стр.550 + стр.560)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386 519,23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989,25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387 508,48</w:t>
            </w:r>
          </w:p>
        </w:tc>
      </w:tr>
      <w:tr>
        <w:trPr>
          <w:trHeight w:val="40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Чистое увеличение задолженности по внутренним привлеченным заимствованиям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60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в том числе:  </w:t>
              <w:br/>
              <w:t>увеличение задолженности по внутренним привлеченным заимствованиям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уменьшение задолженности по внутренним привлеченным заимствованиям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522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810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Чистое увеличение задолженности по внешним привлеченным заимствованиям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530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в том числе:</w:t>
              <w:br/>
              <w:t>увеличение задолженности по внешним привлеченным заимствованиям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уменьшение задолженности по внешним привлеченным заимствованиям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820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Чистое увеличение прочей кредиторской задолженности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-210,75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-210,75</w:t>
            </w:r>
          </w:p>
        </w:tc>
      </w:tr>
      <w:tr>
        <w:trPr>
          <w:trHeight w:val="42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в том числе:  </w:t>
              <w:br/>
              <w:t xml:space="preserve">        увеличение прочей кредиторской задолженности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730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25 720 040,78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4 162 499,19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29 882 539,97</w:t>
            </w:r>
          </w:p>
        </w:tc>
      </w:tr>
      <w:tr>
        <w:trPr>
          <w:trHeight w:val="21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уменьшение прочей кредиторской задолженности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25 720 040,78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4 162 709,94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29 882 750,72</w:t>
            </w:r>
          </w:p>
        </w:tc>
      </w:tr>
      <w:tr>
        <w:trPr>
          <w:trHeight w:val="27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Чистое изменение доходов будущих периодов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Чистое изменение резервов предстоящих расходов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40"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386 519,23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1 200,00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spacing w:before="0" w:after="200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387 719,23</w:t>
            </w:r>
          </w:p>
        </w:tc>
      </w:tr>
    </w:tbl>
    <w:p>
      <w:pPr>
        <w:pStyle w:val="Normal"/>
        <w:spacing w:lineRule="atLeast" w:line="22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lineRule="atLeast" w:line="220" w:before="0" w:after="0"/>
        <w:ind w:firstLine="36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</w:r>
    </w:p>
    <w:p>
      <w:pPr>
        <w:pStyle w:val="ListParagraph"/>
        <w:widowControl w:val="false"/>
        <w:numPr>
          <w:ilvl w:val="0"/>
          <w:numId w:val="2"/>
        </w:numPr>
        <w:spacing w:before="0" w:after="0"/>
        <w:ind w:left="720" w:right="206" w:hanging="360"/>
        <w:contextualSpacing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Раздел</w:t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0" w:right="-1" w:hanging="0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РЕШЕНИЯ, ПРИНЯТЫЕ ПО ИТОГАМ ОБЩЕСТВЕННОГО ОБСУЖДЕНИЯ</w:t>
      </w:r>
    </w:p>
    <w:p>
      <w:pPr>
        <w:pStyle w:val="ListParagraph"/>
        <w:widowControl w:val="false"/>
        <w:numPr>
          <w:ilvl w:val="0"/>
          <w:numId w:val="0"/>
        </w:numPr>
        <w:spacing w:lineRule="auto" w:line="240" w:before="0" w:after="0"/>
        <w:ind w:left="0" w:right="-1"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fill="FFFF00" w:val="clear"/>
        </w:rPr>
        <w:t xml:space="preserve">Ведется взаимодействие через совет родителей детского сада, в том числе при обсуждении ЛНА, затрагивающих интересы воспитанников детского сада. Проведен сбор заявлений (декабрь 2017 г.) от родителей по вопросу включения в вариативную часть Основной образовательной программы детского сада </w:t>
      </w:r>
      <w:r>
        <w:rPr>
          <w:rFonts w:ascii="Times New Roman" w:hAnsi="Times New Roman"/>
          <w:bCs/>
          <w:sz w:val="24"/>
          <w:szCs w:val="24"/>
          <w:shd w:fill="FFFF00" w:val="clear"/>
        </w:rPr>
        <w:t>учебно-методического комплекта «Говорим по-татарски», «Говорим на родном языке».</w:t>
      </w:r>
      <w:r>
        <w:rPr>
          <w:rFonts w:ascii="Times New Roman" w:hAnsi="Times New Roman"/>
          <w:sz w:val="24"/>
          <w:szCs w:val="24"/>
          <w:shd w:fill="FFFF00" w:val="clear"/>
        </w:rPr>
        <w:t xml:space="preserve">  В апреле 2018г. проведено анонимное анкетирование степени удовлетворенности качеством предоставляемых услуг, а также пожеланий родителей (законных  п</w:t>
      </w:r>
      <w:r>
        <w:rPr>
          <w:rFonts w:ascii="Times New Roman" w:hAnsi="Times New Roman"/>
          <w:sz w:val="24"/>
          <w:szCs w:val="24"/>
        </w:rPr>
        <w:t>редставителей) о дополнительной образовательной деятельности.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заявлений родителей по реализации изучения татарского языка: выбрали УМК</w:t>
      </w:r>
      <w:r>
        <w:rPr>
          <w:rFonts w:ascii="Times New Roman" w:hAnsi="Times New Roman"/>
          <w:bCs/>
          <w:sz w:val="24"/>
          <w:szCs w:val="24"/>
        </w:rPr>
        <w:t>«Говорим по-татарски»-98 детей, УМК«Говорим на родном языке»-24 ребенка.</w:t>
      </w:r>
    </w:p>
    <w:p>
      <w:pPr>
        <w:pStyle w:val="Normal"/>
        <w:spacing w:lineRule="auto" w:line="240" w:before="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итогам анкетирования:</w:t>
      </w:r>
    </w:p>
    <w:p>
      <w:pPr>
        <w:pStyle w:val="Normal"/>
        <w:spacing w:lineRule="auto" w:line="240" w:before="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Анкетирование показало высокую степень удовлетворенности качеством предоставляемых услуг.</w:t>
      </w:r>
    </w:p>
    <w:p>
      <w:pPr>
        <w:pStyle w:val="Normal"/>
        <w:spacing w:lineRule="auto" w:line="240" w:before="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-удовлетворены: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Уровнем образования детей -86%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Организацией быта в детском саду- 86%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Питанием в ДОУ – 97%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Состоянием помещений ДОУ – 94%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Оформлением групп – 94%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Материально-техническим обеспечением ДОУ- 76%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Отношениями между воспитанниками в группе – 78%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Вашими отношениями с педагогами – 86%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Вашими отношениями с администрацией – 96%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Отношением вашего ребенка к ДОУ в целом – 84%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- о предоставлении достаточной информации об успехах и неудачах ребенка в детском саду – 96%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- о готовности порекомендовать организацию родственникам и знакомым – 86%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- о предоставлении возможности участия в делах ДОУ – 97%.</w:t>
      </w:r>
    </w:p>
    <w:p>
      <w:pPr>
        <w:pStyle w:val="NormalWeb"/>
        <w:spacing w:beforeAutospacing="0" w:before="0" w:afterAutospacing="0" w:after="0"/>
        <w:ind w:firstLine="709"/>
        <w:rPr>
          <w:color w:val="000000"/>
        </w:rPr>
      </w:pPr>
      <w:r>
        <w:rPr>
          <w:color w:val="000000"/>
        </w:rPr>
        <w:t>По результатам опроса появилась необходимость в введении доп.образования по шахматам.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color w:val="000000"/>
        </w:rPr>
      </w:pPr>
      <w:r>
        <w:rPr/>
        <w:t xml:space="preserve">По вопросу включения в вариативную часть Основной образовательной программы детского сада </w:t>
      </w:r>
      <w:r>
        <w:rPr>
          <w:bCs/>
        </w:rPr>
        <w:t>учебно-методического комплекта «Говорим по-татарски», «Говорим на родном языке» были внесены изменения в образовательную программу детского сада, а также изменения с 01.01.2018г. в сетку образовательной деятельности. Были обсуждены организационные вопросы с руководителем ДООПЦ по вопросу предоставления возможности проведения педагога по обучению шахматам воспитанников ДОУ.</w:t>
      </w:r>
    </w:p>
    <w:p>
      <w:pPr>
        <w:pStyle w:val="ListParagraph"/>
        <w:widowControl w:val="false"/>
        <w:numPr>
          <w:ilvl w:val="0"/>
          <w:numId w:val="2"/>
        </w:numPr>
        <w:spacing w:before="0" w:after="0"/>
        <w:ind w:left="720" w:right="206" w:hanging="360"/>
        <w:contextualSpacing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Раздел</w:t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0" w:right="-1" w:hanging="0"/>
        <w:contextualSpacing/>
        <w:jc w:val="center"/>
        <w:outlineLvl w:val="0"/>
        <w:rPr>
          <w:highlight w:val="none"/>
          <w:shd w:fill="FFFF00" w:val="clear"/>
        </w:rPr>
      </w:pPr>
      <w:r>
        <w:rPr>
          <w:rFonts w:ascii="Times New Roman" w:hAnsi="Times New Roman"/>
          <w:b/>
          <w:sz w:val="28"/>
          <w:szCs w:val="28"/>
          <w:shd w:fill="FFFF00" w:val="clear"/>
        </w:rPr>
        <w:t>ЗАКЛЮЧЕНИЕ. ПЕРСПЕКТИВЫ И ПЛАНЫ РАЗВИТИЯ</w:t>
      </w:r>
      <w:r>
        <w:rPr>
          <w:rFonts w:ascii="Times New Roman" w:hAnsi="Times New Roman"/>
          <w:sz w:val="24"/>
          <w:szCs w:val="28"/>
          <w:shd w:fill="FFFF00" w:val="clear"/>
        </w:rPr>
        <w:t xml:space="preserve"> </w:t>
      </w:r>
    </w:p>
    <w:p>
      <w:pPr>
        <w:pStyle w:val="Normal"/>
        <w:spacing w:lineRule="auto" w:line="240" w:before="0" w:after="0"/>
        <w:ind w:right="-5" w:firstLine="567"/>
        <w:jc w:val="both"/>
        <w:rPr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  <w:t>Приоритетным направлением работы детского сада на 20</w:t>
      </w:r>
      <w:r>
        <w:rPr>
          <w:rFonts w:ascii="Times New Roman" w:hAnsi="Times New Roman"/>
          <w:sz w:val="24"/>
          <w:szCs w:val="24"/>
          <w:shd w:fill="FFFF00" w:val="clear"/>
        </w:rPr>
        <w:t>25</w:t>
      </w:r>
      <w:r>
        <w:rPr>
          <w:rFonts w:ascii="Times New Roman" w:hAnsi="Times New Roman"/>
          <w:sz w:val="24"/>
          <w:szCs w:val="24"/>
          <w:shd w:fill="FFFF00" w:val="clear"/>
        </w:rPr>
        <w:t>-20</w:t>
      </w:r>
      <w:r>
        <w:rPr>
          <w:rFonts w:ascii="Times New Roman" w:hAnsi="Times New Roman"/>
          <w:sz w:val="24"/>
          <w:szCs w:val="24"/>
          <w:shd w:fill="FFFF00" w:val="clear"/>
        </w:rPr>
        <w:t>26</w:t>
      </w:r>
      <w:r>
        <w:rPr>
          <w:rFonts w:ascii="Times New Roman" w:hAnsi="Times New Roman"/>
          <w:sz w:val="24"/>
          <w:szCs w:val="24"/>
          <w:shd w:fill="FFFF00" w:val="clear"/>
        </w:rPr>
        <w:t xml:space="preserve"> гг. будет «Обеспечение качественного образования через формирование целостного образовательного  пространства и гармоничных условий для  разностороннего развития и оздоровления детей в  условиях дошкольного учреждения.»</w:t>
      </w:r>
    </w:p>
    <w:p>
      <w:pPr>
        <w:pStyle w:val="Normal"/>
        <w:spacing w:lineRule="auto" w:line="240" w:before="0" w:after="0"/>
        <w:jc w:val="center"/>
        <w:rPr>
          <w:highlight w:val="none"/>
          <w:shd w:fill="FFFF00" w:val="clear"/>
        </w:rPr>
      </w:pPr>
      <w:r>
        <w:rPr>
          <w:rFonts w:ascii="Times New Roman" w:hAnsi="Times New Roman"/>
          <w:b/>
          <w:sz w:val="24"/>
          <w:szCs w:val="24"/>
          <w:shd w:fill="FFFF00" w:val="clear"/>
        </w:rPr>
        <w:t>Цели и задачи воспитательно-образовательной работы педагогического коллектива на 20</w:t>
      </w:r>
      <w:r>
        <w:rPr>
          <w:rFonts w:ascii="Times New Roman" w:hAnsi="Times New Roman"/>
          <w:b/>
          <w:sz w:val="24"/>
          <w:szCs w:val="24"/>
          <w:shd w:fill="FFFF00" w:val="clear"/>
        </w:rPr>
        <w:t>25</w:t>
      </w:r>
      <w:r>
        <w:rPr>
          <w:rFonts w:ascii="Times New Roman" w:hAnsi="Times New Roman"/>
          <w:b/>
          <w:sz w:val="24"/>
          <w:szCs w:val="24"/>
          <w:shd w:fill="FFFF00" w:val="clear"/>
        </w:rPr>
        <w:t>-20</w:t>
      </w:r>
      <w:r>
        <w:rPr>
          <w:rFonts w:ascii="Times New Roman" w:hAnsi="Times New Roman"/>
          <w:b/>
          <w:sz w:val="24"/>
          <w:szCs w:val="24"/>
          <w:shd w:fill="FFFF00" w:val="clear"/>
        </w:rPr>
        <w:t>26</w:t>
      </w:r>
      <w:r>
        <w:rPr>
          <w:rFonts w:ascii="Times New Roman" w:hAnsi="Times New Roman"/>
          <w:b/>
          <w:sz w:val="24"/>
          <w:szCs w:val="24"/>
          <w:shd w:fill="FFFF00" w:val="clear"/>
        </w:rPr>
        <w:t xml:space="preserve"> учебный год</w:t>
      </w:r>
    </w:p>
    <w:p>
      <w:pPr>
        <w:pStyle w:val="Normal"/>
        <w:spacing w:lineRule="auto" w:line="240" w:before="0" w:after="0"/>
        <w:ind w:firstLine="709"/>
        <w:jc w:val="both"/>
        <w:rPr>
          <w:highlight w:val="none"/>
          <w:shd w:fill="FFFF00" w:val="clear"/>
        </w:rPr>
      </w:pPr>
      <w:r>
        <w:rPr>
          <w:rFonts w:ascii="Times New Roman" w:hAnsi="Times New Roman"/>
          <w:b/>
          <w:sz w:val="24"/>
          <w:szCs w:val="24"/>
          <w:shd w:fill="FFFF00" w:val="clear"/>
        </w:rPr>
        <w:t>Методическая тема</w:t>
      </w:r>
      <w:r>
        <w:rPr>
          <w:rFonts w:ascii="Times New Roman" w:hAnsi="Times New Roman"/>
          <w:sz w:val="24"/>
          <w:szCs w:val="24"/>
          <w:shd w:fill="FFFF00" w:val="clear"/>
        </w:rPr>
        <w:t xml:space="preserve">: Реализация требований ФГОС ДО к организации деятельности детей.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shd w:fill="FFFF00" w:val="clear"/>
        </w:rPr>
        <w:t>Цель</w:t>
      </w:r>
      <w:r>
        <w:rPr>
          <w:rFonts w:ascii="Times New Roman" w:hAnsi="Times New Roman"/>
          <w:sz w:val="24"/>
          <w:szCs w:val="24"/>
          <w:shd w:fill="FFFF00" w:val="clear"/>
        </w:rPr>
        <w:t>: Обеспечение комплексного психолого-педагогического сопровождения и поддержка инициатив ребёнка. Использование образовательных технологий, способствующих физич</w:t>
      </w:r>
      <w:r>
        <w:rPr>
          <w:rFonts w:ascii="Times New Roman" w:hAnsi="Times New Roman"/>
          <w:sz w:val="24"/>
          <w:szCs w:val="24"/>
        </w:rPr>
        <w:t>ескому и психическому развитию и поддержанию здоровья детей.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Охрана и укрепление психофизического здоровья дошкольников с использованием различных форм физкультурно-оздоровительной работы и здоровьесберегающих технологий.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iCs/>
          <w:color w:val="111111"/>
          <w:sz w:val="24"/>
          <w:szCs w:val="24"/>
          <w:shd w:fill="FFFFFF" w:val="clear"/>
        </w:rPr>
      </w:pPr>
      <w:r>
        <w:rPr>
          <w:rFonts w:ascii="Times New Roman" w:hAnsi="Times New Roman"/>
          <w:sz w:val="24"/>
          <w:szCs w:val="24"/>
        </w:rPr>
        <w:t xml:space="preserve">2. Совершенствование </w:t>
      </w:r>
      <w:r>
        <w:rPr>
          <w:rFonts w:ascii="Times New Roman" w:hAnsi="Times New Roman"/>
          <w:iCs/>
          <w:color w:val="111111"/>
          <w:sz w:val="24"/>
          <w:szCs w:val="24"/>
          <w:shd w:fill="FFFFFF" w:val="clear"/>
        </w:rPr>
        <w:t>дошкольного </w:t>
      </w:r>
      <w:r>
        <w:rPr>
          <w:rStyle w:val="Strong"/>
          <w:rFonts w:ascii="Times New Roman" w:hAnsi="Times New Roman"/>
          <w:b w:val="false"/>
          <w:iCs/>
          <w:color w:val="111111"/>
          <w:sz w:val="24"/>
          <w:szCs w:val="24"/>
        </w:rPr>
        <w:t>волонтерского движения в ДОУ</w:t>
      </w:r>
      <w:r>
        <w:rPr>
          <w:rFonts w:ascii="Times New Roman" w:hAnsi="Times New Roman"/>
          <w:b/>
          <w:iCs/>
          <w:color w:val="111111"/>
          <w:sz w:val="24"/>
          <w:szCs w:val="24"/>
          <w:shd w:fill="FFFFFF" w:val="clear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3.Продолжать работу по приобщению детей дошкольного возраста к истории, культуре родного края, родного и татарского языка, родной страны.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Продолжать работу по развитию речи ребенка дошкольного возраста посредством игровой и театральной деятельностей.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Вести планомерную работу по формированию у детей навыков ранней профессиональной ориентации.</w:t>
      </w:r>
    </w:p>
    <w:p>
      <w:pPr>
        <w:pStyle w:val="Default"/>
        <w:ind w:firstLine="709"/>
        <w:rPr/>
      </w:pPr>
      <w:r>
        <w:rPr>
          <w:b/>
          <w:bCs/>
        </w:rPr>
        <w:t xml:space="preserve">Перспективы развития ДОУ: </w:t>
      </w:r>
    </w:p>
    <w:p>
      <w:pPr>
        <w:pStyle w:val="Default"/>
        <w:ind w:firstLine="709"/>
        <w:jc w:val="both"/>
        <w:rPr/>
      </w:pPr>
      <w:r>
        <w:rPr/>
        <w:t>Обеспечение условий безопасного и комфортного пребывания детей в дошкольном учреждении. Приобщение детей к ценностям здорового образа жизни и к общечеловеческим ценностям. Максимальное обеспечение двигательной активности детей в течение дня.</w:t>
      </w:r>
    </w:p>
    <w:p>
      <w:pPr>
        <w:pStyle w:val="Default"/>
        <w:ind w:firstLine="709"/>
        <w:jc w:val="both"/>
        <w:rPr/>
      </w:pPr>
      <w:r>
        <w:rPr/>
        <w:t xml:space="preserve"> </w:t>
      </w:r>
      <w:r>
        <w:rPr/>
        <w:t>Поддержание социального статуса ДОУ: сохранение престижа ДОУ в глазах общественности, построение взаимодействия с общественными организациями, налаживание сотрудничества с семьями воспитанников.</w:t>
      </w:r>
    </w:p>
    <w:p>
      <w:pPr>
        <w:pStyle w:val="Default"/>
        <w:ind w:firstLine="709"/>
        <w:jc w:val="both"/>
        <w:rPr/>
      </w:pPr>
      <w:r>
        <w:rPr/>
        <w:t>Продолжать создать развивающую предметно-пространственную среду в дошкольном учреждении, функционально моделирующую содержание детской деятельности с учётом ФГОС.</w:t>
      </w:r>
    </w:p>
    <w:p>
      <w:pPr>
        <w:pStyle w:val="Default"/>
        <w:ind w:firstLine="709"/>
        <w:jc w:val="both"/>
        <w:rPr>
          <w:color w:val="auto"/>
        </w:rPr>
      </w:pPr>
      <w:r>
        <w:rPr/>
        <w:t xml:space="preserve">Создание благоприятных условий развития детей в соответствии с возрастными и индивидуальными особенностями и склонностями, развитие способностей, творческого </w:t>
      </w:r>
      <w:r>
        <w:rPr>
          <w:color w:val="auto"/>
        </w:rPr>
        <w:t xml:space="preserve">потенциала каждого ребѐнка как субъекта образовательного процесса. </w:t>
      </w:r>
    </w:p>
    <w:p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Повышение качества образовательного процесса на основе использования инновационных программ и технологий (проектирование и включение семьи в проектную деятельность).</w:t>
      </w:r>
    </w:p>
    <w:p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Обеспечение 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</w:t>
      </w:r>
    </w:p>
    <w:p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Создание условий для достижения каждым сотрудником детского сада высокого уровня профессионализма педагогического коллектива и реализации системы повышения квалификации с включением в эту систему всех категорий сотрудников. Повышение профессиональной компетентности педагогов в соответствии современных требований.</w:t>
      </w:r>
    </w:p>
    <w:p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Продолжать принимать участие в городских, республиканских, федеральных конкурсах.</w:t>
      </w:r>
    </w:p>
    <w:p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Продолжать внедрять интеграцию образовательных областей, ООД (основная образовательная деятельность), игры с использованием ИКТ (информационно-коммуникационных технологий).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механизмов, обеспечивающих высокий уровень охраны и укрепления здоровья детей, обеспечению их психологической защищённости и эмоционального благополучия.</w:t>
      </w:r>
    </w:p>
    <w:p>
      <w:pPr>
        <w:pStyle w:val="ListParagraph"/>
        <w:widowControl w:val="false"/>
        <w:numPr>
          <w:ilvl w:val="0"/>
          <w:numId w:val="0"/>
        </w:numPr>
        <w:spacing w:before="0" w:after="0"/>
        <w:ind w:left="0" w:right="-1" w:hanging="0"/>
        <w:contextualSpacing/>
        <w:jc w:val="both"/>
        <w:outlineLvl w:val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</w:r>
    </w:p>
    <w:p>
      <w:pPr>
        <w:pStyle w:val="Normal"/>
        <w:spacing w:before="0" w:after="200"/>
        <w:jc w:val="both"/>
        <w:rPr/>
      </w:pPr>
      <w:r>
        <w:rPr/>
      </w:r>
    </w:p>
    <w:sectPr>
      <w:footerReference w:type="default" r:id="rId6"/>
      <w:type w:val="nextPage"/>
      <w:pgSz w:w="11906" w:h="16838"/>
      <w:pgMar w:left="1701" w:right="567" w:gutter="0" w:header="0" w:top="567" w:footer="709" w:bottom="76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PT Serif Caption"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749153028"/>
    </w:sdtPr>
    <w:sdtContent>
      <w:p>
        <w:pPr>
          <w:pStyle w:val="Style24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22</w:t>
        </w:r>
        <w:r>
          <w:rPr/>
          <w:fldChar w:fldCharType="end"/>
        </w:r>
      </w:p>
    </w:sdtContent>
  </w:sdt>
  <w:p>
    <w:pPr>
      <w:pStyle w:val="Style24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3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55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en-US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427b7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bidi="ar-SA" w:eastAsia="en-US"/>
    </w:rPr>
  </w:style>
  <w:style w:type="paragraph" w:styleId="1">
    <w:name w:val="Heading 1"/>
    <w:basedOn w:val="Normal"/>
    <w:next w:val="Normal"/>
    <w:link w:val="11"/>
    <w:uiPriority w:val="9"/>
    <w:qFormat/>
    <w:rsid w:val="00b752ba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b752ba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b752ba"/>
    <w:pPr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b752ba"/>
    <w:pPr>
      <w:spacing w:before="240" w:after="200"/>
      <w:outlineLvl w:val="3"/>
    </w:pPr>
    <w:rPr>
      <w:smallCaps/>
      <w:spacing w:val="10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b752ba"/>
    <w:pPr>
      <w:spacing w:before="200" w:after="200"/>
      <w:outlineLvl w:val="4"/>
    </w:pPr>
    <w:rPr>
      <w:smallCaps/>
      <w:color w:val="943634" w:themeColor="accent2" w:themeShade="bf"/>
      <w:spacing w:val="10"/>
      <w:szCs w:val="26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b752ba"/>
    <w:pPr>
      <w:outlineLvl w:val="5"/>
    </w:pPr>
    <w:rPr>
      <w:smallCaps/>
      <w:color w:val="C0504D" w:themeColor="accent2"/>
      <w:spacing w:val="5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b752ba"/>
    <w:pPr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b752ba"/>
    <w:pPr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b752ba"/>
    <w:pPr>
      <w:outlineLvl w:val="8"/>
    </w:pPr>
    <w:rPr>
      <w:b/>
      <w:i/>
      <w:smallCaps/>
      <w:color w:val="622423" w:themeColor="accent2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b752ba"/>
    <w:rPr>
      <w:smallCaps/>
      <w:spacing w:val="5"/>
      <w:sz w:val="32"/>
      <w:szCs w:val="32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b752ba"/>
    <w:rPr>
      <w:smallCaps/>
      <w:spacing w:val="5"/>
      <w:sz w:val="28"/>
      <w:szCs w:val="28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b752ba"/>
    <w:rPr>
      <w:smallCaps/>
      <w:spacing w:val="5"/>
      <w:sz w:val="24"/>
      <w:szCs w:val="24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b752ba"/>
    <w:rPr>
      <w:smallCaps/>
      <w:spacing w:val="10"/>
      <w:sz w:val="22"/>
      <w:szCs w:val="22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b752ba"/>
    <w:rPr>
      <w:smallCaps/>
      <w:color w:val="943634" w:themeColor="accent2" w:themeShade="bf"/>
      <w:spacing w:val="10"/>
      <w:sz w:val="22"/>
      <w:szCs w:val="26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b752ba"/>
    <w:rPr>
      <w:smallCaps/>
      <w:color w:val="C0504D" w:themeColor="accent2"/>
      <w:spacing w:val="5"/>
      <w:sz w:val="22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b752ba"/>
    <w:rPr>
      <w:b/>
      <w:smallCaps/>
      <w:color w:val="C0504D" w:themeColor="accent2"/>
      <w:spacing w:val="10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b752ba"/>
    <w:rPr>
      <w:b/>
      <w:i/>
      <w:smallCaps/>
      <w:color w:val="943634" w:themeColor="accent2" w:themeShade="bf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b752ba"/>
    <w:rPr>
      <w:b/>
      <w:i/>
      <w:smallCaps/>
      <w:color w:val="622423" w:themeColor="accent2" w:themeShade="7f"/>
    </w:rPr>
  </w:style>
  <w:style w:type="character" w:styleId="Style5" w:customStyle="1">
    <w:name w:val="Название Знак"/>
    <w:basedOn w:val="DefaultParagraphFont"/>
    <w:uiPriority w:val="10"/>
    <w:qFormat/>
    <w:rsid w:val="00b752ba"/>
    <w:rPr>
      <w:smallCaps/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sid w:val="00b752ba"/>
    <w:rPr>
      <w:rFonts w:ascii="Cambria" w:hAnsi="Cambria" w:eastAsia="" w:cs="" w:asciiTheme="majorHAnsi" w:cstheme="majorBidi" w:eastAsiaTheme="majorEastAsia" w:hAnsiTheme="majorHAnsi"/>
      <w:szCs w:val="22"/>
    </w:rPr>
  </w:style>
  <w:style w:type="character" w:styleId="Strong">
    <w:name w:val="Strong"/>
    <w:uiPriority w:val="22"/>
    <w:qFormat/>
    <w:rsid w:val="00b752ba"/>
    <w:rPr>
      <w:b/>
      <w:color w:val="C0504D" w:themeColor="accent2"/>
    </w:rPr>
  </w:style>
  <w:style w:type="character" w:styleId="Style7">
    <w:name w:val="Emphasis"/>
    <w:uiPriority w:val="20"/>
    <w:qFormat/>
    <w:rsid w:val="00b752ba"/>
    <w:rPr>
      <w:b/>
      <w:i/>
      <w:spacing w:val="10"/>
    </w:rPr>
  </w:style>
  <w:style w:type="character" w:styleId="Style8" w:customStyle="1">
    <w:name w:val="Без интервала Знак"/>
    <w:basedOn w:val="DefaultParagraphFont"/>
    <w:link w:val="NoSpacing"/>
    <w:uiPriority w:val="1"/>
    <w:qFormat/>
    <w:rsid w:val="00b752ba"/>
    <w:rPr/>
  </w:style>
  <w:style w:type="character" w:styleId="22" w:customStyle="1">
    <w:name w:val="Цитата 2 Знак"/>
    <w:basedOn w:val="DefaultParagraphFont"/>
    <w:link w:val="Quote"/>
    <w:uiPriority w:val="29"/>
    <w:qFormat/>
    <w:rsid w:val="00b752ba"/>
    <w:rPr>
      <w:i/>
    </w:rPr>
  </w:style>
  <w:style w:type="character" w:styleId="Style9" w:customStyle="1">
    <w:name w:val="Выделенная цитата Знак"/>
    <w:basedOn w:val="DefaultParagraphFont"/>
    <w:link w:val="IntenseQuote"/>
    <w:uiPriority w:val="30"/>
    <w:qFormat/>
    <w:rsid w:val="00b752ba"/>
    <w:rPr>
      <w:b/>
      <w:i/>
      <w:color w:val="FFFFFF" w:themeColor="background1"/>
      <w:shd w:fill="C0504D" w:val="clear"/>
    </w:rPr>
  </w:style>
  <w:style w:type="character" w:styleId="SubtleEmphasis">
    <w:name w:val="Subtle Emphasis"/>
    <w:uiPriority w:val="19"/>
    <w:qFormat/>
    <w:rsid w:val="00b752ba"/>
    <w:rPr>
      <w:i/>
    </w:rPr>
  </w:style>
  <w:style w:type="character" w:styleId="IntenseEmphasis">
    <w:name w:val="Intense Emphasis"/>
    <w:uiPriority w:val="21"/>
    <w:qFormat/>
    <w:rsid w:val="00b752ba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b752ba"/>
    <w:rPr>
      <w:b/>
    </w:rPr>
  </w:style>
  <w:style w:type="character" w:styleId="IntenseReference">
    <w:name w:val="Intense Reference"/>
    <w:uiPriority w:val="32"/>
    <w:qFormat/>
    <w:rsid w:val="00b752ba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b752ba"/>
    <w:rPr>
      <w:rFonts w:ascii="Cambria" w:hAnsi="Cambria" w:eastAsia="" w:cs="" w:asciiTheme="majorHAnsi" w:cstheme="majorBidi" w:eastAsiaTheme="majorEastAsia" w:hAnsiTheme="majorHAnsi"/>
      <w:i/>
      <w:iCs/>
      <w:sz w:val="20"/>
      <w:szCs w:val="20"/>
    </w:rPr>
  </w:style>
  <w:style w:type="character" w:styleId="-">
    <w:name w:val="Hyperlink"/>
    <w:basedOn w:val="DefaultParagraphFont"/>
    <w:uiPriority w:val="99"/>
    <w:unhideWhenUsed/>
    <w:rsid w:val="008c0e2e"/>
    <w:rPr>
      <w:color w:val="0000FF" w:themeColor="hyperlink"/>
      <w:u w:val="single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836293"/>
    <w:rPr>
      <w:rFonts w:ascii="Tahoma" w:hAnsi="Tahoma" w:eastAsia="Calibri" w:cs="Tahoma"/>
      <w:sz w:val="16"/>
      <w:szCs w:val="16"/>
      <w:lang w:val="ru-RU" w:bidi="ar-SA"/>
    </w:rPr>
  </w:style>
  <w:style w:type="character" w:styleId="Apple-converted-space" w:customStyle="1">
    <w:name w:val="apple-converted-space"/>
    <w:basedOn w:val="DefaultParagraphFont"/>
    <w:qFormat/>
    <w:rsid w:val="00836293"/>
    <w:rPr/>
  </w:style>
  <w:style w:type="character" w:styleId="Style11" w:customStyle="1">
    <w:name w:val="Верхний колонтитул Знак"/>
    <w:basedOn w:val="DefaultParagraphFont"/>
    <w:uiPriority w:val="99"/>
    <w:semiHidden/>
    <w:qFormat/>
    <w:rsid w:val="001a7a74"/>
    <w:rPr>
      <w:rFonts w:ascii="Calibri" w:hAnsi="Calibri" w:eastAsia="Calibri" w:cs="Times New Roman"/>
      <w:sz w:val="22"/>
      <w:szCs w:val="22"/>
      <w:lang w:val="ru-RU" w:bidi="ar-SA"/>
    </w:rPr>
  </w:style>
  <w:style w:type="character" w:styleId="Style12" w:customStyle="1">
    <w:name w:val="Нижний колонтитул Знак"/>
    <w:basedOn w:val="DefaultParagraphFont"/>
    <w:uiPriority w:val="99"/>
    <w:qFormat/>
    <w:rsid w:val="001a7a74"/>
    <w:rPr>
      <w:rFonts w:ascii="Calibri" w:hAnsi="Calibri" w:eastAsia="Calibri" w:cs="Times New Roman"/>
      <w:sz w:val="22"/>
      <w:szCs w:val="22"/>
      <w:lang w:val="ru-RU" w:bidi="ar-SA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752ba"/>
    <w:pPr/>
    <w:rPr>
      <w:b/>
      <w:bCs/>
      <w:caps/>
      <w:sz w:val="16"/>
      <w:szCs w:val="18"/>
    </w:rPr>
  </w:style>
  <w:style w:type="paragraph" w:styleId="Style18">
    <w:name w:val="Title"/>
    <w:basedOn w:val="Normal"/>
    <w:next w:val="Normal"/>
    <w:link w:val="Style5"/>
    <w:uiPriority w:val="10"/>
    <w:qFormat/>
    <w:rsid w:val="00b752ba"/>
    <w:pPr>
      <w:pBdr>
        <w:top w:val="single" w:sz="12" w:space="1" w:color="C0504D"/>
      </w:pBdr>
      <w:spacing w:lineRule="auto" w:line="240"/>
      <w:jc w:val="right"/>
    </w:pPr>
    <w:rPr>
      <w:smallCaps/>
      <w:sz w:val="48"/>
      <w:szCs w:val="48"/>
    </w:rPr>
  </w:style>
  <w:style w:type="paragraph" w:styleId="Style19">
    <w:name w:val="Subtitle"/>
    <w:basedOn w:val="Normal"/>
    <w:next w:val="Normal"/>
    <w:link w:val="Style6"/>
    <w:uiPriority w:val="11"/>
    <w:qFormat/>
    <w:rsid w:val="00b752ba"/>
    <w:pPr>
      <w:spacing w:lineRule="auto" w:line="240" w:before="0" w:after="720"/>
      <w:jc w:val="right"/>
    </w:pPr>
    <w:rPr>
      <w:rFonts w:ascii="Cambria" w:hAnsi="Cambria" w:eastAsia="" w:cs="" w:asciiTheme="majorHAnsi" w:cstheme="majorBidi" w:eastAsiaTheme="majorEastAsia" w:hAnsiTheme="majorHAnsi"/>
    </w:rPr>
  </w:style>
  <w:style w:type="paragraph" w:styleId="NoSpacing">
    <w:name w:val="No Spacing"/>
    <w:basedOn w:val="Normal"/>
    <w:link w:val="Style8"/>
    <w:uiPriority w:val="1"/>
    <w:qFormat/>
    <w:rsid w:val="00b752ba"/>
    <w:pPr>
      <w:spacing w:lineRule="auto" w:line="240"/>
    </w:pPr>
    <w:rPr/>
  </w:style>
  <w:style w:type="paragraph" w:styleId="ListParagraph">
    <w:name w:val="List Paragraph"/>
    <w:basedOn w:val="Normal"/>
    <w:uiPriority w:val="34"/>
    <w:qFormat/>
    <w:rsid w:val="00b752ba"/>
    <w:pPr>
      <w:spacing w:before="0" w:after="200"/>
      <w:ind w:left="720" w:hanging="0"/>
      <w:contextualSpacing/>
    </w:pPr>
    <w:rPr/>
  </w:style>
  <w:style w:type="paragraph" w:styleId="Quote">
    <w:name w:val="Quote"/>
    <w:basedOn w:val="Normal"/>
    <w:next w:val="Normal"/>
    <w:link w:val="22"/>
    <w:uiPriority w:val="29"/>
    <w:qFormat/>
    <w:rsid w:val="00b752ba"/>
    <w:pPr/>
    <w:rPr>
      <w:i/>
    </w:rPr>
  </w:style>
  <w:style w:type="paragraph" w:styleId="IntenseQuote">
    <w:name w:val="Intense Quote"/>
    <w:basedOn w:val="Normal"/>
    <w:next w:val="Normal"/>
    <w:link w:val="Style9"/>
    <w:uiPriority w:val="30"/>
    <w:qFormat/>
    <w:rsid w:val="00b752ba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 w:themeFill="accent2"/>
      <w:spacing w:before="140" w:after="140"/>
      <w:ind w:left="1440" w:right="1440" w:hanging="0"/>
    </w:pPr>
    <w:rPr>
      <w:b/>
      <w:i/>
      <w:color w:val="FFFFFF" w:themeColor="background1"/>
    </w:rPr>
  </w:style>
  <w:style w:type="paragraph" w:styleId="Style20">
    <w:name w:val="Index Heading"/>
    <w:basedOn w:val="Style13"/>
    <w:pPr/>
    <w:rPr/>
  </w:style>
  <w:style w:type="paragraph" w:styleId="Style21">
    <w:name w:val="TOC Heading"/>
    <w:basedOn w:val="1"/>
    <w:next w:val="Normal"/>
    <w:uiPriority w:val="39"/>
    <w:semiHidden/>
    <w:unhideWhenUsed/>
    <w:qFormat/>
    <w:rsid w:val="00b752ba"/>
    <w:pPr>
      <w:outlineLvl w:val="9"/>
    </w:pPr>
    <w:rPr/>
  </w:style>
  <w:style w:type="paragraph" w:styleId="Default" w:customStyle="1">
    <w:name w:val="Default"/>
    <w:qFormat/>
    <w:rsid w:val="00f02b98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bidi="ar-SA" w:eastAsia="en-US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83629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b4bca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1"/>
    <w:uiPriority w:val="99"/>
    <w:semiHidden/>
    <w:unhideWhenUsed/>
    <w:rsid w:val="001a7a74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Style12"/>
    <w:uiPriority w:val="99"/>
    <w:unhideWhenUsed/>
    <w:rsid w:val="001a7a74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9427b7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Raduga.Kuk@tatar.ru" TargetMode="External"/><Relationship Id="rId3" Type="http://schemas.openxmlformats.org/officeDocument/2006/relationships/hyperlink" Target="mailto:Robert.Mansurov@tatar.ru" TargetMode="External"/><Relationship Id="rId4" Type="http://schemas.openxmlformats.org/officeDocument/2006/relationships/chart" Target="charts/chart1.xml"/><Relationship Id="rId5" Type="http://schemas.openxmlformats.org/officeDocument/2006/relationships/chart" Target="charts/chart2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_____Microsoft_Office_Excel1.xlsx"/>
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_____Microsoft_Office_Excel2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lang="ru-RU" sz="1100" spc="-1" strike="noStrike">
                <a:solidFill>
                  <a:srgbClr val="000000"/>
                </a:solidFill>
                <a:latin typeface="Times New Roman"/>
              </a:defRPr>
            </a:pPr>
            <a:r>
              <a:rPr b="1" lang="ru-RU" sz="1100" spc="-1" strike="noStrike">
                <a:solidFill>
                  <a:srgbClr val="000000"/>
                </a:solidFill>
                <a:latin typeface="Times New Roman"/>
              </a:rPr>
              <a:t>Анализ качества усвоения программного материала в 2017-2018 уч.году </a:t>
            </a:r>
          </a:p>
        </c:rich>
      </c:tx>
      <c:layout>
        <c:manualLayout>
          <c:xMode val="edge"/>
          <c:yMode val="edge"/>
          <c:x val="0.150296150049358"/>
          <c:y val="0"/>
        </c:manualLayout>
      </c:layout>
      <c:overlay val="0"/>
      <c:spPr>
        <a:noFill/>
        <a:ln w="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14375"/>
          <c:y val="0.0967777777777778"/>
          <c:w val="0.5735625"/>
          <c:h val="0.7381111111111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художественно-эстет</c:v>
                </c:pt>
              </c:strCache>
            </c:strRef>
          </c:tx>
          <c:spPr>
            <a:solidFill>
              <a:srgbClr val="4f81bd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0.00351802990325418"/>
                  <c:y val="0.149933065595717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0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0</c:f>
              <c:numCache>
                <c:formatCode>General</c:formatCode>
                <c:ptCount val="1"/>
                <c:pt idx="0">
                  <c:v>62.8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речевое</c:v>
                </c:pt>
              </c:strCache>
            </c:strRef>
          </c:tx>
          <c:spPr>
            <a:solidFill>
              <a:srgbClr val="c0504d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0"/>
                  <c:y val="0.1285140562249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0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1</c:f>
              <c:numCache>
                <c:formatCode>General</c:formatCode>
                <c:ptCount val="1"/>
                <c:pt idx="0">
                  <c:v>48.49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физическое</c:v>
                </c:pt>
              </c:strCache>
            </c:strRef>
          </c:tx>
          <c:spPr>
            <a:solidFill>
              <a:srgbClr val="9bbb59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0"/>
                  <c:y val="0.0910307898259705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0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2</c:f>
              <c:numCache>
                <c:formatCode>General</c:formatCode>
                <c:ptCount val="1"/>
                <c:pt idx="0">
                  <c:v>57.48</c:v>
                </c:pt>
              </c:numCache>
            </c:numRef>
          </c:val>
        </c:ser>
        <c:ser>
          <c:idx val="3"/>
          <c:order val="3"/>
          <c:tx>
            <c:strRef>
              <c:f>label 3</c:f>
              <c:strCache>
                <c:ptCount val="1"/>
                <c:pt idx="0">
                  <c:v>познавательное</c:v>
                </c:pt>
              </c:strCache>
            </c:strRef>
          </c:tx>
          <c:spPr>
            <a:solidFill>
              <a:srgbClr val="8064a2"/>
            </a:solidFill>
            <a:ln w="0">
              <a:noFill/>
            </a:ln>
          </c:spPr>
          <c:invertIfNegative val="0"/>
          <c:dLbls>
            <c:numFmt formatCode="General" sourceLinked="0"/>
            <c:txPr>
              <a:bodyPr wrap="square"/>
              <a:lstStyle/>
              <a:p>
                <a:pPr>
                  <a:defRPr b="0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3</c:f>
              <c:numCache>
                <c:formatCode>General</c:formatCode>
                <c:ptCount val="1"/>
                <c:pt idx="0">
                  <c:v>57.48</c:v>
                </c:pt>
              </c:numCache>
            </c:numRef>
          </c:val>
        </c:ser>
        <c:ser>
          <c:idx val="4"/>
          <c:order val="4"/>
          <c:tx>
            <c:strRef>
              <c:f>label 4</c:f>
              <c:strCache>
                <c:ptCount val="1"/>
                <c:pt idx="0">
                  <c:v>соц.коммуникативное</c:v>
                </c:pt>
              </c:strCache>
            </c:strRef>
          </c:tx>
          <c:spPr>
            <a:solidFill>
              <a:srgbClr val="4bacc6"/>
            </a:solidFill>
            <a:ln w="0">
              <a:noFill/>
            </a:ln>
          </c:spPr>
          <c:invertIfNegative val="0"/>
          <c:dLbls>
            <c:numFmt formatCode="General" sourceLinked="0"/>
            <c:txPr>
              <a:bodyPr wrap="square"/>
              <a:lstStyle/>
              <a:p>
                <a:pPr>
                  <a:defRPr b="0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4</c:f>
              <c:numCache>
                <c:formatCode>General</c:formatCode>
                <c:ptCount val="1"/>
                <c:pt idx="0">
                  <c:v>52.49</c:v>
                </c:pt>
              </c:numCache>
            </c:numRef>
          </c:val>
        </c:ser>
        <c:gapWidth val="150"/>
        <c:overlap val="0"/>
        <c:axId val="64173033"/>
        <c:axId val="37268729"/>
      </c:barChart>
      <c:catAx>
        <c:axId val="64173033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b="0" sz="10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37268729"/>
        <c:crosses val="autoZero"/>
        <c:auto val="1"/>
        <c:lblAlgn val="ctr"/>
        <c:lblOffset val="100"/>
        <c:noMultiLvlLbl val="0"/>
      </c:catAx>
      <c:valAx>
        <c:axId val="37268729"/>
        <c:scaling>
          <c:orientation val="minMax"/>
        </c:scaling>
        <c:delete val="0"/>
        <c:axPos val="l"/>
        <c:majorGridlines>
          <c:spPr>
            <a:ln w="9360">
              <a:solidFill>
                <a:srgbClr val="878787"/>
              </a:solidFill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b="0" sz="10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64173033"/>
        <c:crosses val="autoZero"/>
        <c:crossBetween val="between"/>
      </c:valAx>
      <c:spPr>
        <a:noFill/>
        <a:ln w="0">
          <a:noFill/>
        </a:ln>
      </c:spPr>
    </c:plotArea>
    <c:legend>
      <c:legendPos val="r"/>
      <c:layout>
        <c:manualLayout>
          <c:xMode val="edge"/>
          <c:yMode val="edge"/>
          <c:x val="0.640125"/>
          <c:y val="0.155444444444444"/>
          <c:w val="0.359834989686855"/>
          <c:h val="0.688965440604512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b="0" sz="900" spc="-1" strike="noStrike">
              <a:solidFill>
                <a:srgbClr val="000000"/>
              </a:solidFill>
              <a:latin typeface="Times New Roman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lang="ru-RU" sz="1200" spc="-1" strike="noStrike">
                <a:solidFill>
                  <a:srgbClr val="000000"/>
                </a:solidFill>
                <a:latin typeface="Times New Roman"/>
              </a:defRPr>
            </a:pPr>
            <a:r>
              <a:rPr b="1" lang="ru-RU" sz="1200" spc="-1" strike="noStrike">
                <a:solidFill>
                  <a:srgbClr val="000000"/>
                </a:solidFill>
                <a:latin typeface="Times New Roman"/>
              </a:rPr>
              <a:t>показатели пропущенных по болезни одним ребенком</a:t>
            </a:r>
          </a:p>
        </c:rich>
      </c:tx>
      <c:layout>
        <c:manualLayout>
          <c:xMode val="edge"/>
          <c:yMode val="edge"/>
          <c:x val="0.209775967413442"/>
          <c:y val="0"/>
        </c:manualLayout>
      </c:layout>
      <c:overlay val="0"/>
      <c:spPr>
        <a:noFill/>
        <a:ln w="0">
          <a:noFill/>
        </a:ln>
      </c:spPr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4f81bd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1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2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-0.00860215053763447"/>
                  <c:y val="0.266666666666667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-0.0172043010752688"/>
                  <c:y val="0.273504273504275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-0.000895986791973588"/>
                  <c:y val="0.21864351068266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0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3.4</c:v>
                </c:pt>
                <c:pt idx="1">
                  <c:v>3.4</c:v>
                </c:pt>
                <c:pt idx="2">
                  <c:v>2.4</c:v>
                </c:pt>
              </c:numCache>
            </c:numRef>
          </c:val>
        </c:ser>
        <c:gapWidth val="150"/>
        <c:overlap val="0"/>
        <c:axId val="78824665"/>
        <c:axId val="26962869"/>
      </c:barChart>
      <c:catAx>
        <c:axId val="78824665"/>
        <c:scaling>
          <c:orientation val="minMax"/>
        </c:scaling>
        <c:delete val="0"/>
        <c:axPos val="b"/>
        <c:numFmt formatCode="[$-419]dd/mm/yyyy" sourceLinked="1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b="0" sz="10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26962869"/>
        <c:crosses val="autoZero"/>
        <c:auto val="1"/>
        <c:lblAlgn val="ctr"/>
        <c:lblOffset val="100"/>
        <c:noMultiLvlLbl val="0"/>
      </c:catAx>
      <c:valAx>
        <c:axId val="26962869"/>
        <c:scaling>
          <c:orientation val="minMax"/>
        </c:scaling>
        <c:delete val="0"/>
        <c:axPos val="l"/>
        <c:majorGridlines>
          <c:spPr>
            <a:ln w="9360">
              <a:solidFill>
                <a:srgbClr val="878787"/>
              </a:solidFill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b="0" sz="10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78824665"/>
        <c:crosses val="autoZero"/>
        <c:crossBetween val="between"/>
      </c:valAx>
      <c:spPr>
        <a:noFill/>
        <a:ln w="0">
          <a:noFill/>
        </a:ln>
      </c:spPr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0335671-CB1D-481F-AB9B-DF8333E3C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Application>LibreOffice/7.5.6.2$Linux_X86_64 LibreOffice_project/50$Build-2</Application>
  <AppVersion>15.0000</AppVersion>
  <Pages>24</Pages>
  <Words>7086</Words>
  <Characters>48159</Characters>
  <CharactersWithSpaces>54699</CharactersWithSpaces>
  <Paragraphs>1548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2018-10-02T08:05:00Z</dcterms:created>
  <dc:creator>user</dc:creator>
  <dc:description/>
  <dc:language>ru-RU</dc:language>
  <cp:lastModifiedBy/>
  <cp:lastPrinted>2018-10-08T10:43:00Z</cp:lastPrinted>
  <dcterms:modified xsi:type="dcterms:W3CDTF">2025-06-02T14:33:26Z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