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55E" w:rsidRPr="006F65D9" w:rsidRDefault="002E155E" w:rsidP="002E155E">
      <w:pPr>
        <w:pStyle w:val="1"/>
        <w:shd w:val="clear" w:color="auto" w:fill="FFFFFF"/>
        <w:spacing w:before="0" w:beforeAutospacing="0" w:after="60" w:afterAutospacing="0" w:line="264" w:lineRule="atLeast"/>
        <w:rPr>
          <w:rFonts w:ascii="PT Serif" w:hAnsi="PT Serif" w:cs="Tahoma"/>
          <w:bCs w:val="0"/>
          <w:sz w:val="28"/>
          <w:szCs w:val="28"/>
        </w:rPr>
      </w:pPr>
      <w:r w:rsidRPr="006F65D9">
        <w:rPr>
          <w:rFonts w:ascii="PT Serif" w:hAnsi="PT Serif" w:cs="Tahoma"/>
          <w:bCs w:val="0"/>
          <w:sz w:val="28"/>
          <w:szCs w:val="28"/>
        </w:rPr>
        <w:t xml:space="preserve">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6F65D9">
          <w:rPr>
            <w:rFonts w:ascii="PT Serif" w:hAnsi="PT Serif" w:cs="Tahoma"/>
            <w:bCs w:val="0"/>
            <w:sz w:val="28"/>
            <w:szCs w:val="28"/>
          </w:rPr>
          <w:t>2013 г</w:t>
        </w:r>
      </w:smartTag>
      <w:r w:rsidRPr="006F65D9">
        <w:rPr>
          <w:rFonts w:ascii="PT Serif" w:hAnsi="PT Serif" w:cs="Tahoma"/>
          <w:bCs w:val="0"/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26 г"/>
        </w:smartTagPr>
        <w:r w:rsidRPr="006F65D9">
          <w:rPr>
            <w:rFonts w:ascii="PT Serif" w:hAnsi="PT Serif" w:cs="Tahoma"/>
            <w:bCs w:val="0"/>
            <w:sz w:val="28"/>
            <w:szCs w:val="28"/>
          </w:rPr>
          <w:t>26 г</w:t>
        </w:r>
      </w:smartTag>
      <w:r w:rsidRPr="006F65D9">
        <w:rPr>
          <w:rFonts w:ascii="PT Serif" w:hAnsi="PT Serif" w:cs="Tahoma"/>
          <w:bCs w:val="0"/>
          <w:sz w:val="28"/>
          <w:szCs w:val="28"/>
        </w:rPr>
        <w:t xml:space="preserve">. Москва </w:t>
      </w:r>
    </w:p>
    <w:p w:rsidR="002E155E" w:rsidRPr="006F65D9" w:rsidRDefault="002E155E" w:rsidP="002E155E">
      <w:pPr>
        <w:pStyle w:val="2"/>
        <w:shd w:val="clear" w:color="auto" w:fill="FFFFFF"/>
        <w:spacing w:before="0" w:beforeAutospacing="0" w:after="0" w:afterAutospacing="0" w:line="180" w:lineRule="atLeast"/>
        <w:rPr>
          <w:rFonts w:cs="Tahoma"/>
          <w:bCs w:val="0"/>
          <w:sz w:val="28"/>
          <w:szCs w:val="28"/>
        </w:rPr>
      </w:pPr>
    </w:p>
    <w:p w:rsidR="002E155E" w:rsidRPr="006F65D9" w:rsidRDefault="002E155E" w:rsidP="002E155E">
      <w:pPr>
        <w:pStyle w:val="2"/>
        <w:shd w:val="clear" w:color="auto" w:fill="FFFFFF"/>
        <w:spacing w:before="0" w:beforeAutospacing="0" w:after="0" w:afterAutospacing="0" w:line="180" w:lineRule="atLeast"/>
        <w:rPr>
          <w:rFonts w:ascii="PT Serif" w:hAnsi="PT Serif" w:cs="Tahoma"/>
          <w:bCs w:val="0"/>
          <w:sz w:val="24"/>
          <w:szCs w:val="24"/>
        </w:rPr>
      </w:pPr>
      <w:r w:rsidRPr="006F65D9">
        <w:rPr>
          <w:rFonts w:ascii="PT Serif" w:hAnsi="PT Serif" w:cs="Tahoma"/>
          <w:bCs w:val="0"/>
          <w:sz w:val="24"/>
          <w:szCs w:val="24"/>
        </w:rPr>
        <w:t>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</w:t>
      </w:r>
      <w:r w:rsidRPr="006F65D9">
        <w:rPr>
          <w:rStyle w:val="apple-converted-space"/>
          <w:rFonts w:ascii="PT Serif" w:hAnsi="PT Serif" w:cs="Tahoma"/>
          <w:bCs w:val="0"/>
          <w:sz w:val="24"/>
          <w:szCs w:val="24"/>
        </w:rPr>
        <w:t> </w:t>
      </w:r>
      <w:hyperlink r:id="rId4" w:anchor="comments" w:history="1"/>
    </w:p>
    <w:p w:rsidR="002E155E" w:rsidRPr="006F65D9" w:rsidRDefault="002E155E" w:rsidP="002E155E">
      <w:pPr>
        <w:shd w:val="clear" w:color="auto" w:fill="FFFFFF"/>
        <w:spacing w:line="192" w:lineRule="atLeast"/>
        <w:rPr>
          <w:rFonts w:ascii="Tahoma" w:hAnsi="Tahoma" w:cs="Tahoma"/>
          <w:b/>
        </w:rPr>
      </w:pPr>
    </w:p>
    <w:p w:rsidR="002E155E" w:rsidRPr="006F65D9" w:rsidRDefault="002E155E" w:rsidP="002E155E">
      <w:pPr>
        <w:shd w:val="clear" w:color="auto" w:fill="FFFFFF"/>
        <w:spacing w:line="192" w:lineRule="atLeast"/>
        <w:rPr>
          <w:rFonts w:ascii="Arial" w:hAnsi="Arial" w:cs="Arial"/>
          <w:b/>
        </w:rPr>
      </w:pPr>
      <w:r w:rsidRPr="006F65D9">
        <w:rPr>
          <w:rStyle w:val="tik-text"/>
          <w:rFonts w:ascii="Arial" w:hAnsi="Arial" w:cs="Arial"/>
          <w:b/>
        </w:rPr>
        <w:t>Опубликовано:</w:t>
      </w:r>
      <w:r w:rsidRPr="006F65D9">
        <w:rPr>
          <w:rStyle w:val="apple-converted-space"/>
          <w:rFonts w:ascii="Arial" w:hAnsi="Arial" w:cs="Arial"/>
          <w:b/>
        </w:rPr>
        <w:t> </w:t>
      </w:r>
      <w:r w:rsidRPr="006F65D9">
        <w:rPr>
          <w:rFonts w:ascii="Arial" w:hAnsi="Arial" w:cs="Arial"/>
          <w:b/>
        </w:rPr>
        <w:t xml:space="preserve">19 июля </w:t>
      </w:r>
      <w:smartTag w:uri="urn:schemas-microsoft-com:office:smarttags" w:element="metricconverter">
        <w:smartTagPr>
          <w:attr w:name="ProductID" w:val="2013 г"/>
        </w:smartTagPr>
        <w:r w:rsidRPr="006F65D9">
          <w:rPr>
            <w:rFonts w:ascii="Arial" w:hAnsi="Arial" w:cs="Arial"/>
            <w:b/>
          </w:rPr>
          <w:t>2013 г</w:t>
        </w:r>
      </w:smartTag>
      <w:r w:rsidRPr="006F65D9">
        <w:rPr>
          <w:rFonts w:ascii="Arial" w:hAnsi="Arial" w:cs="Arial"/>
          <w:b/>
        </w:rPr>
        <w:t>. в</w:t>
      </w:r>
      <w:r w:rsidRPr="006F65D9">
        <w:rPr>
          <w:rStyle w:val="apple-converted-space"/>
          <w:rFonts w:ascii="Arial" w:hAnsi="Arial" w:cs="Arial"/>
          <w:b/>
        </w:rPr>
        <w:t> </w:t>
      </w:r>
      <w:hyperlink r:id="rId5" w:history="1">
        <w:r w:rsidRPr="006F65D9">
          <w:rPr>
            <w:rStyle w:val="a3"/>
            <w:rFonts w:ascii="Arial" w:hAnsi="Arial" w:cs="Arial"/>
            <w:b/>
            <w:bdr w:val="none" w:sz="0" w:space="0" w:color="auto" w:frame="1"/>
          </w:rPr>
          <w:t>"РГ" - Федеральный выпуск №6133</w:t>
        </w:r>
      </w:hyperlink>
      <w:r w:rsidRPr="006F65D9">
        <w:rPr>
          <w:rStyle w:val="apple-converted-space"/>
          <w:rFonts w:ascii="Arial" w:hAnsi="Arial" w:cs="Arial"/>
          <w:b/>
        </w:rPr>
        <w:t> </w:t>
      </w:r>
      <w:r w:rsidRPr="006F65D9">
        <w:rPr>
          <w:rFonts w:ascii="Arial" w:hAnsi="Arial" w:cs="Arial"/>
          <w:b/>
        </w:rPr>
        <w:br/>
      </w:r>
      <w:r w:rsidRPr="006F65D9">
        <w:rPr>
          <w:rStyle w:val="tik-text"/>
          <w:rFonts w:ascii="Arial" w:hAnsi="Arial" w:cs="Arial"/>
          <w:b/>
        </w:rPr>
        <w:t>Вступает в силу:</w:t>
      </w:r>
      <w:r w:rsidRPr="006F65D9">
        <w:rPr>
          <w:rFonts w:ascii="Arial" w:hAnsi="Arial" w:cs="Arial"/>
          <w:b/>
        </w:rPr>
        <w:t xml:space="preserve">30 июля </w:t>
      </w:r>
      <w:smartTag w:uri="urn:schemas-microsoft-com:office:smarttags" w:element="metricconverter">
        <w:smartTagPr>
          <w:attr w:name="ProductID" w:val="2013 г"/>
        </w:smartTagPr>
        <w:r w:rsidRPr="006F65D9">
          <w:rPr>
            <w:rFonts w:ascii="Arial" w:hAnsi="Arial" w:cs="Arial"/>
            <w:b/>
          </w:rPr>
          <w:t>2013 г</w:t>
        </w:r>
      </w:smartTag>
      <w:r w:rsidRPr="006F65D9">
        <w:rPr>
          <w:rFonts w:ascii="Arial" w:hAnsi="Arial" w:cs="Arial"/>
          <w:b/>
        </w:rPr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 xml:space="preserve">Зарегистрировано в Минюсте РФ 29 мая </w:t>
      </w:r>
      <w:smartTag w:uri="urn:schemas-microsoft-com:office:smarttags" w:element="metricconverter">
        <w:smartTagPr>
          <w:attr w:name="ProductID" w:val="2013 г"/>
        </w:smartTagPr>
        <w:r w:rsidRPr="006F65D9">
          <w:rPr>
            <w:b/>
            <w:bCs/>
          </w:rPr>
          <w:t>2013 г</w:t>
        </w:r>
      </w:smartTag>
      <w:r w:rsidRPr="006F65D9">
        <w:rPr>
          <w:b/>
          <w:bCs/>
        </w:rPr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Регистрационный N 28564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35, ст. 3607; 2005, N 19, ст. 1752; 2006, N 1, ст. 10; 2006, N 52 (ч. 1) ст. 5498; 2007, N 1 (ч. 1), ст. 21; 2007, N 1 (ч. 1), ст. 29; 2007, N 27, ст. 3213; 2007, N 46, ст. 5554; 2007, N 49, ст. 6070; 2008, N 24, ст. 2801; 2008, N 29 (ч. 1), ст. 3418; 2008, N 30 (ч. 2), ст. 3616; 2008, N 44, ст. 4984; 2008, N 52 (ч. 1), ст. 6223; 2009, N 1, ст. 17; 2010, N 40, ст. 4969; 2011, N 1, ст. 6; 25.07.2011, N 30 (ч. 1), ст. 4563, ст. 4590, ст. 4591, ст. 4596; 12.12.2011, N 50, ст. 7359; 11.06.2012, N 24, ст. 3069; 25.06.2012, N 26, ст. 3446), Указом Президента Российской Федерации от 19.03.2013 N 211 "О внесении изменений в некоторые акты Президента Российской Федерации" (Собрание законодательства Российской Федерации 25.03.2013, N 12, ст. 1245)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</w:t>
      </w:r>
      <w:r w:rsidRPr="006F65D9">
        <w:rPr>
          <w:rStyle w:val="apple-converted-space"/>
        </w:rPr>
        <w:t> </w:t>
      </w:r>
      <w:r w:rsidRPr="006F65D9">
        <w:rPr>
          <w:b/>
          <w:bCs/>
        </w:rPr>
        <w:t>постановляю</w:t>
      </w:r>
      <w:r w:rsidRPr="006F65D9">
        <w:t>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(приложение).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2. С момента вступления в силу СанПиН 2.4.1.3049-13 считать утратившими силу санитарно-эпидемиологические правила и нормативы: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22.07.2010 N 91 (зарегистрированы в Минюсте России 27.08.2010, регистрационный номер 18267);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организациях", утвержденные постановлением Главного государственного санитарного врача Российской Федерации от 20.12.2010 N 164 (зарегистрированы в Минюсте России 22.12.2010, регистрационный номер 19342).</w:t>
      </w:r>
    </w:p>
    <w:p w:rsidR="002E155E" w:rsidRPr="002E155E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  <w:rPr>
          <w:b/>
          <w:bCs/>
        </w:rPr>
      </w:pPr>
      <w:r w:rsidRPr="006F65D9">
        <w:rPr>
          <w:b/>
          <w:bCs/>
        </w:rPr>
        <w:t>Г. Онищенко</w:t>
      </w:r>
    </w:p>
    <w:p w:rsidR="002E155E" w:rsidRPr="002E155E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  <w:rPr>
          <w:b/>
          <w:bCs/>
        </w:rPr>
      </w:pPr>
    </w:p>
    <w:p w:rsidR="002E155E" w:rsidRPr="002E155E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  <w:rPr>
          <w:b/>
          <w:bCs/>
        </w:rPr>
      </w:pPr>
    </w:p>
    <w:p w:rsidR="002E155E" w:rsidRPr="002E155E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  <w:jc w:val="right"/>
      </w:pPr>
      <w:r w:rsidRPr="006F65D9">
        <w:rPr>
          <w:u w:val="single"/>
        </w:rPr>
        <w:t>Приложение</w:t>
      </w:r>
    </w:p>
    <w:p w:rsidR="002E155E" w:rsidRPr="006F65D9" w:rsidRDefault="002E155E" w:rsidP="002E155E">
      <w:pPr>
        <w:pStyle w:val="4"/>
        <w:shd w:val="clear" w:color="auto" w:fill="FFFFFF"/>
        <w:spacing w:before="120" w:beforeAutospacing="0" w:after="0" w:afterAutospacing="0"/>
      </w:pPr>
      <w:r w:rsidRPr="006F65D9"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2E155E" w:rsidRPr="006F65D9" w:rsidRDefault="002E155E" w:rsidP="002E155E">
      <w:pPr>
        <w:pStyle w:val="4"/>
        <w:shd w:val="clear" w:color="auto" w:fill="FFFFFF"/>
        <w:spacing w:before="120" w:beforeAutospacing="0" w:after="0" w:afterAutospacing="0"/>
      </w:pPr>
      <w:r w:rsidRPr="006F65D9">
        <w:t>Санитарно-эпидемиологические правила и нормативы СанПиН 2.4.1.3049-13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I. Общие положения и область применения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1.2. Настоящие санитарные правила устанавливают санитарно-эпидемиологические требования к: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условиям размещения дошкольных образовательных организаций,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оборудованию и содержанию территории,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помещениям, их оборудованию и содержанию,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естественному и искусственному освещению помещений,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отоплению и вентиляции,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водоснабжению и канализации,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организации питания,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приему детей в дошкольные образовательные организации,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организации режима дня,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организации физического воспитания,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личной гигиене персонала.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Наряду с обязательными для исполнения требованиями, санитарные правила содержат рекомендации</w:t>
      </w:r>
      <w:r w:rsidRPr="006F65D9">
        <w:rPr>
          <w:vertAlign w:val="superscript"/>
        </w:rPr>
        <w:t>1</w:t>
      </w:r>
      <w:r w:rsidRPr="006F65D9"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Настоящие санитарные правила не распространяются на семейные группы, размещенные в жилых квартирах (жилых домах).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</w:t>
      </w:r>
      <w:r w:rsidRPr="006F65D9">
        <w:lastRenderedPageBreak/>
        <w:t>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6F65D9">
        <w:rPr>
          <w:vertAlign w:val="superscript"/>
        </w:rPr>
        <w:t>2]</w:t>
      </w:r>
      <w:r w:rsidRPr="006F65D9"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</w:t>
      </w:r>
      <w:smartTag w:uri="urn:schemas-microsoft-com:office:smarttags" w:element="metricconverter">
        <w:smartTagPr>
          <w:attr w:name="ProductID" w:val="2,5 метра"/>
        </w:smartTagPr>
        <w:r w:rsidRPr="006F65D9">
          <w:t>2,5 метра</w:t>
        </w:r>
      </w:smartTag>
      <w:r w:rsidRPr="006F65D9">
        <w:t xml:space="preserve"> квадратного на 1 ребенка и для дошкольного возраста (от 3 до 7 лет) - не менее </w:t>
      </w:r>
      <w:smartTag w:uri="urn:schemas-microsoft-com:office:smarttags" w:element="metricconverter">
        <w:smartTagPr>
          <w:attr w:name="ProductID" w:val="2,0 метра"/>
        </w:smartTagPr>
        <w:r w:rsidRPr="006F65D9">
          <w:t>2,0 метра</w:t>
        </w:r>
      </w:smartTag>
      <w:r w:rsidRPr="006F65D9">
        <w:t xml:space="preserve"> квадратного на одного ребенка, фактически находящегося в группе.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тяжелыми нарушениями речи - 6 и 10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фонетико-фонематическими нарушениями речи в возрасте старше 3 лет - 12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глухих детей - 6 детей для обеих возрастных групп;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слабослышащих детей - 6 и 8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слепых детей - 6 детей для обеих возрастных групп;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слабовидящих детей, для детей с амблиопией, косоглазием - 6 и 10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нарушениями опорно-двигательного аппарата - 6 и 8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- для детей с задержкой психического развития - 6 и 10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умственной отсталостью легкой степени - 6 и 10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умственной отсталостью умеренной, тяжелой в возрасте старше 3 лет - 8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аутизмом только в возрасте старше 3 лет - 5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Рекомендуемое количество детей в группах комбинированной направленности: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а) до 3 лет - не более 10 детей, в том числе не более 3 детей с ограниченными возможностями здоровья;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б) старше 3 лет: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не более 17 детей, в том числе не более 5 детей с задержкой психического развития.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  <w:rPr>
          <w:b/>
          <w:bCs/>
        </w:rPr>
      </w:pP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II. Требования к размещению дошкольных образовательных организаций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III. Требования к оборудованию и содержанию территорий дошкольных образовательных организаций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озеленении территории не проводится посадка плодоносящих деревьев и кустарников, ядовитых и колючих растений.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3.5. На территории дошкольной образовательной организации выделяются игровая и хозяйственная зоны.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3.6. Зона игровой территории включает в себя групповые площадки - индивидуальные для каждой группы (рекомендуемая площадь из расчета не менее </w:t>
      </w:r>
      <w:smartTag w:uri="urn:schemas-microsoft-com:office:smarttags" w:element="metricconverter">
        <w:smartTagPr>
          <w:attr w:name="ProductID" w:val="7,0 кв. м"/>
        </w:smartTagPr>
        <w:r w:rsidRPr="006F65D9">
          <w:t>7,0 кв. м</w:t>
        </w:r>
      </w:smartTag>
      <w:r w:rsidRPr="006F65D9">
        <w:t xml:space="preserve"> на 1 ребенка для детей младенческого и раннего возраста (до 3 лет) и не менее </w:t>
      </w:r>
      <w:smartTag w:uri="urn:schemas-microsoft-com:office:smarttags" w:element="metricconverter">
        <w:smartTagPr>
          <w:attr w:name="ProductID" w:val="9,0 кв. м"/>
        </w:smartTagPr>
        <w:r w:rsidRPr="006F65D9">
          <w:t>9,0 кв. м</w:t>
        </w:r>
      </w:smartTag>
      <w:r w:rsidRPr="006F65D9">
        <w:t xml:space="preserve"> на 1 ребенка дошкольного возраста (от 3 до 7 лет)) и физкультурную площадку (одну или несколько).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</w:t>
      </w:r>
      <w:smartTag w:uri="urn:schemas-microsoft-com:office:smarttags" w:element="metricconverter">
        <w:smartTagPr>
          <w:attr w:name="ProductID" w:val="1 кв. м"/>
        </w:smartTagPr>
        <w:r w:rsidRPr="006F65D9">
          <w:t>1 кв. м</w:t>
        </w:r>
      </w:smartTag>
      <w:r w:rsidRPr="006F65D9">
        <w:t xml:space="preserve"> на одного ребенка. Для групп с численностью менее 15 человек площадь теневого навеса должна быть не менее </w:t>
      </w:r>
      <w:smartTag w:uri="urn:schemas-microsoft-com:office:smarttags" w:element="metricconverter">
        <w:smartTagPr>
          <w:attr w:name="ProductID" w:val="20 кв. м"/>
        </w:smartTagPr>
        <w:r w:rsidRPr="006F65D9">
          <w:t>20 кв. м</w:t>
        </w:r>
      </w:smartTag>
      <w:r w:rsidRPr="006F65D9"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</w:t>
      </w:r>
      <w:smartTag w:uri="urn:schemas-microsoft-com:office:smarttags" w:element="metricconverter">
        <w:smartTagPr>
          <w:attr w:name="ProductID" w:val="15 см"/>
        </w:smartTagPr>
        <w:r w:rsidRPr="006F65D9">
          <w:t>15 см</w:t>
        </w:r>
      </w:smartTag>
      <w:r w:rsidRPr="006F65D9">
        <w:t xml:space="preserve"> от земли.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</w:t>
      </w:r>
      <w:smartTag w:uri="urn:schemas-microsoft-com:office:smarttags" w:element="metricconverter">
        <w:smartTagPr>
          <w:attr w:name="ProductID" w:val="1,5 м"/>
        </w:smartTagPr>
        <w:r w:rsidRPr="006F65D9">
          <w:t>1,5 м</w:t>
        </w:r>
      </w:smartTag>
      <w:r w:rsidRPr="006F65D9"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3.10.2. Рекомендуется в IA, IB, IГ климатических подрайонах вместо теневых навесов оборудовать отапливаемые прогулочные веранды из расчета не менее </w:t>
      </w:r>
      <w:smartTag w:uri="urn:schemas-microsoft-com:office:smarttags" w:element="metricconverter">
        <w:smartTagPr>
          <w:attr w:name="ProductID" w:val="2 кв. м"/>
        </w:smartTagPr>
        <w:r w:rsidRPr="006F65D9">
          <w:t>2 кв. м</w:t>
        </w:r>
      </w:smartTag>
      <w:r w:rsidRPr="006F65D9">
        <w:t xml:space="preserve"> на одного ребенка с обеспечением проветривания веранд.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3.12. Игровые и физкультурные площадки для детей оборудуются с учетом их росто-возрастных особенностей.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условиях сложившейся (плотной) городской застройки допускается отсутствие самостоятельного въезда с улицы.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3.17. На территории хозяйственной зоны возможно размещение овощехранилища.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3.18. В хозяйственной зоне оборудуется площадка для сбора мусора на расстоянии не менее </w:t>
      </w:r>
      <w:smartTag w:uri="urn:schemas-microsoft-com:office:smarttags" w:element="metricconverter">
        <w:smartTagPr>
          <w:attr w:name="ProductID" w:val="15 м"/>
        </w:smartTagPr>
        <w:r w:rsidRPr="006F65D9">
          <w:t>15 м</w:t>
        </w:r>
      </w:smartTag>
      <w:r w:rsidRPr="006F65D9">
        <w:t xml:space="preserve">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3.19. Уборка территории проводится ежедневно: утром за 1 - 2 часа до прихода детей или вечером после ухода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сухой и жаркой погоде полив территории рекомендуется проводить не менее 2 раз в день.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Не допускается сжигание мусора на территории дошкольной образовательной организации и в непосредственной близости от нее.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IV. Требования к зданию, помещениям, оборудованию и их содержанию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4.2. Вместимость дошкольных образовательных организаций определяется заданием на проектирование.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4.3. Здание дошкольной образовательной организации должно иметь этажность не выше трех.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Групповые ячейки для детей до 3 лет располагаются на 1-м этаже.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4.12. Площади помещений, входящих в групповую ячейку, принимают в соответствии с рекомендуемыми площадями помещений групповой ячейки (таблица 1 Приложения N 1).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4.20. При проведении занятий детей с использованием компьютерной техники,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таблице 1 Приложения N 1.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туалете предусматривается место для приготовления дезинфицирующих растворов.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Медицинский блок (медицинский кабинет) должен иметь отдельный вход из коридора.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таблицей 2 Приложения N 1.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Не допускается размещать групповые ячейки над помещениями пищеблока и постирочной.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Состав и площади помещений пищеблока (буфета-раздаточной) определяются заданием на проектирование.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Помещения для хранения пищевых продуктов должны быть не проницаемыми для грызунов.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4.30. При организации мытья обменной тары в дошкольных образовательных организациях выделяется отдельное помещение.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4.34. Допускается установка посудомоечной машины в буфетных групповых ячейках.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4.36. Вход в постирочную не рекомендуется устраивать напротив входа в помещения групповых ячеек.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4.38. При организации работы групп кратковременного пребывания детей должны предусматриваться помещения: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групповая комната для проведения учебных занятий, игр и питания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помещение или место для приготовления пищи, а также для мытья и хранения столовой посуды и приборов;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детская туалетная (с умывальной) для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V. Требования к внутренней отделке помещений дошкольных образовательных организаций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</w:t>
      </w:r>
      <w:smartTag w:uri="urn:schemas-microsoft-com:office:smarttags" w:element="metricconverter">
        <w:smartTagPr>
          <w:attr w:name="ProductID" w:val="1,5 м"/>
        </w:smartTagPr>
        <w:r w:rsidRPr="006F65D9">
          <w:t>1,5 м</w:t>
        </w:r>
      </w:smartTag>
      <w:r w:rsidRPr="006F65D9">
        <w:t xml:space="preserve">; в заготовочной пищеблока, залах с ваннами бассейна и душевых - на высоту не менее </w:t>
      </w:r>
      <w:smartTag w:uri="urn:schemas-microsoft-com:office:smarttags" w:element="metricconverter">
        <w:smartTagPr>
          <w:attr w:name="ProductID" w:val="1,8 м"/>
        </w:smartTagPr>
        <w:r w:rsidRPr="006F65D9">
          <w:t>1,8 м</w:t>
        </w:r>
      </w:smartTag>
      <w:r w:rsidRPr="006F65D9">
        <w:t xml:space="preserve"> для проведения влажной обработки с применением моющих и дезинфицирующих средств.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  <w:rPr>
          <w:b/>
          <w:bCs/>
        </w:rPr>
      </w:pP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VI. Требования к размещению оборудования в помещениях дошкольных образовательных организаций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6.2. Раздевальные оборудуются шкафами для верхней одежды детей и персонала.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Шкафы для одежды и обуви оборудуются индивидуальными ячейками -полками для головных уборов и крючками для верхней одежды. Каждая индивидуальная ячейка маркируется.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6.4. В групповых для детей раннего возраста рекомендуется устанавливать в светлой части помещения групповой манеж размером 6,0 х </w:t>
      </w:r>
      <w:smartTag w:uri="urn:schemas-microsoft-com:office:smarttags" w:element="metricconverter">
        <w:smartTagPr>
          <w:attr w:name="ProductID" w:val="5,0 м"/>
        </w:smartTagPr>
        <w:r w:rsidRPr="006F65D9">
          <w:t>5,0 м</w:t>
        </w:r>
      </w:smartTag>
      <w:r w:rsidRPr="006F65D9">
        <w:t xml:space="preserve"> с высотой ограждения - </w:t>
      </w:r>
      <w:smartTag w:uri="urn:schemas-microsoft-com:office:smarttags" w:element="metricconverter">
        <w:smartTagPr>
          <w:attr w:name="ProductID" w:val="0,4 м"/>
        </w:smartTagPr>
        <w:r w:rsidRPr="006F65D9">
          <w:t>0,4 м</w:t>
        </w:r>
      </w:smartTag>
      <w:r w:rsidRPr="006F65D9">
        <w:t xml:space="preserve">, длинной стороной параллельно окнам и на расстоянии от них не менее </w:t>
      </w:r>
      <w:smartTag w:uri="urn:schemas-microsoft-com:office:smarttags" w:element="metricconverter">
        <w:smartTagPr>
          <w:attr w:name="ProductID" w:val="1,0 м"/>
        </w:smartTagPr>
        <w:r w:rsidRPr="006F65D9">
          <w:t>1,0 м</w:t>
        </w:r>
      </w:smartTag>
      <w:r w:rsidRPr="006F65D9">
        <w:t xml:space="preserve">. Для ползания детей на полу выделяют место, ограниченное барьером. Рекомендуется устанавливать горки с лесенкой высотой не более </w:t>
      </w:r>
      <w:smartTag w:uri="urn:schemas-microsoft-com:office:smarttags" w:element="metricconverter">
        <w:smartTagPr>
          <w:attr w:name="ProductID" w:val="0,8 м"/>
        </w:smartTagPr>
        <w:r w:rsidRPr="006F65D9">
          <w:t>0,8 м</w:t>
        </w:r>
      </w:smartTag>
      <w:r w:rsidRPr="006F65D9">
        <w:t xml:space="preserve"> и длиной ската - </w:t>
      </w:r>
      <w:smartTag w:uri="urn:schemas-microsoft-com:office:smarttags" w:element="metricconverter">
        <w:smartTagPr>
          <w:attr w:name="ProductID" w:val="0,9 м"/>
        </w:smartTagPr>
        <w:r w:rsidRPr="006F65D9">
          <w:t>0,9 м</w:t>
        </w:r>
      </w:smartTag>
      <w:r w:rsidRPr="006F65D9">
        <w:t xml:space="preserve">, мостики длиной </w:t>
      </w:r>
      <w:smartTag w:uri="urn:schemas-microsoft-com:office:smarttags" w:element="metricconverter">
        <w:smartTagPr>
          <w:attr w:name="ProductID" w:val="1,5 м"/>
        </w:smartTagPr>
        <w:r w:rsidRPr="006F65D9">
          <w:t>1,5 м</w:t>
        </w:r>
      </w:smartTag>
      <w:r w:rsidRPr="006F65D9">
        <w:t xml:space="preserve"> и шириной </w:t>
      </w:r>
      <w:smartTag w:uri="urn:schemas-microsoft-com:office:smarttags" w:element="metricconverter">
        <w:smartTagPr>
          <w:attr w:name="ProductID" w:val="0,4 м"/>
        </w:smartTagPr>
        <w:r w:rsidRPr="006F65D9">
          <w:t>0,4 м</w:t>
        </w:r>
      </w:smartTag>
      <w:r w:rsidRPr="006F65D9">
        <w:t xml:space="preserve"> с перилами высотой </w:t>
      </w:r>
      <w:smartTag w:uri="urn:schemas-microsoft-com:office:smarttags" w:element="metricconverter">
        <w:smartTagPr>
          <w:attr w:name="ProductID" w:val="0,45 м"/>
        </w:smartTagPr>
        <w:r w:rsidRPr="006F65D9">
          <w:t>0,45 м</w:t>
        </w:r>
      </w:smartTag>
      <w:r w:rsidRPr="006F65D9"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drawing>
          <wp:inline distT="0" distB="0" distL="0" distR="0">
            <wp:extent cx="5867400" cy="1685925"/>
            <wp:effectExtent l="19050" t="0" r="0" b="0"/>
            <wp:docPr id="1" name="Рисунок 1" descr="http://img.rg.ru/pril/81/66/68/6133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rg.ru/pril/81/66/68/6133_2.gif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Учебные доски, не обладающие собственным свечением, должны быть обеспечены равномерным искусственным освещением.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6.11. Размещение аквариумов, животных, птиц в помещениях групповых не допускается.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</w:t>
      </w:r>
      <w:r w:rsidRPr="006F65D9">
        <w:lastRenderedPageBreak/>
        <w:t xml:space="preserve">детей. Детские унитазы рекомендуется устанавливать в закрывающихся кабинах, высота ограждения кабины - </w:t>
      </w:r>
      <w:smartTag w:uri="urn:schemas-microsoft-com:office:smarttags" w:element="metricconverter">
        <w:smartTagPr>
          <w:attr w:name="ProductID" w:val="1,2 м"/>
        </w:smartTagPr>
        <w:r w:rsidRPr="006F65D9">
          <w:t>1,2 м</w:t>
        </w:r>
      </w:smartTag>
      <w:r w:rsidRPr="006F65D9">
        <w:t xml:space="preserve"> (от пола), не доходящая до уровня пола на </w:t>
      </w:r>
      <w:smartTag w:uri="urn:schemas-microsoft-com:office:smarttags" w:element="metricconverter">
        <w:smartTagPr>
          <w:attr w:name="ProductID" w:val="0,15 м"/>
        </w:smartTagPr>
        <w:r w:rsidRPr="006F65D9">
          <w:t>0,15 м</w:t>
        </w:r>
      </w:smartTag>
      <w:r w:rsidRPr="006F65D9"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6.18. Умывальники рекомендуется устанавливать: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- на высоту от пола до борта прибора - </w:t>
      </w:r>
      <w:smartTag w:uri="urn:schemas-microsoft-com:office:smarttags" w:element="metricconverter">
        <w:smartTagPr>
          <w:attr w:name="ProductID" w:val="0,4 м"/>
        </w:smartTagPr>
        <w:r w:rsidRPr="006F65D9">
          <w:t>0,4 м</w:t>
        </w:r>
      </w:smartTag>
      <w:r w:rsidRPr="006F65D9">
        <w:t xml:space="preserve"> для детей младшего дошкольного возраста;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- на высоту от пола до борта - </w:t>
      </w:r>
      <w:smartTag w:uri="urn:schemas-microsoft-com:office:smarttags" w:element="metricconverter">
        <w:smartTagPr>
          <w:attr w:name="ProductID" w:val="0,5 м"/>
        </w:smartTagPr>
        <w:r w:rsidRPr="006F65D9">
          <w:t>0,5 м</w:t>
        </w:r>
      </w:smartTag>
      <w:r w:rsidRPr="006F65D9">
        <w:t xml:space="preserve"> для детей среднего и старшего дошкольного возраста.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устанавливать шкафы для уборочного инвентаря вне туалетных комнат.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VII. Требования к естественному и искусственному освещению помещений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</w:t>
      </w:r>
      <w:r w:rsidRPr="006F65D9">
        <w:lastRenderedPageBreak/>
        <w:t>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7.4. При одностороннем освещении глубина групповых помещений должна составлять не более </w:t>
      </w:r>
      <w:smartTag w:uri="urn:schemas-microsoft-com:office:smarttags" w:element="metricconverter">
        <w:smartTagPr>
          <w:attr w:name="ProductID" w:val="6 метров"/>
        </w:smartTagPr>
        <w:r w:rsidRPr="006F65D9">
          <w:t>6 метров</w:t>
        </w:r>
      </w:smartTag>
      <w:r w:rsidRPr="006F65D9"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7.5. Не рекомендуется размещать цветы в горшках на подоконниках в групповых и спальных помещениях.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(Приложение N 2).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7.9. Чистка оконных стекол и светильников проводится по мере их загрязнения.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VIII. Требования к отоплению и вентиляции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Ревизия, очистка и контроль за эффективностью работы вентиляционных систем осуществляется не реже 1 раза в год.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Ограждения из древесно-стружечных плит не используются.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8.5. Все помещения дошкольной организации должны ежедневно проветриваться.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присутствии детей допускается широкая односторонняя аэрация всех помещений в теплое время года.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проветривании допускается кратковременное снижение температуры воздуха в помещении, но не более чем на 2 - 4 С.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помещениях спален сквозное проветривание проводится до дневного сна.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проветривании во время сна фрамуги, форточки открываются с одной стороны и закрывают за 30 минут до подъема.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холодное время года фрамуги, форточки закрываются за 10 минут до отхода ко сну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теплое время года сон (дневной и ночной) организуется при открытых окнах (избегая сквозняка).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(Приложение N 3).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IX. Требования к водоснабжению и канализации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9.3. Вода должна отвечать санитарно-эпидемиологическим требованиям к питьевой воде.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9.5. Не допускается использование для технологических, хозяйственно-бытовых целей горячую воду из системы отопления.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X. Требования к дошкольным образовательным организациям и группам для детей с ограниченными возможностями здоровья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 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Единый комплекс образовательных организаций (детский сад - школа) допускается размещать на одной территории.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</w:t>
      </w:r>
      <w:smartTag w:uri="urn:schemas-microsoft-com:office:smarttags" w:element="metricconverter">
        <w:smartTagPr>
          <w:attr w:name="ProductID" w:val="1,6 м"/>
        </w:smartTagPr>
        <w:r w:rsidRPr="006F65D9">
          <w:t>1,6 м</w:t>
        </w:r>
      </w:smartTag>
      <w:r w:rsidRPr="006F65D9">
        <w:t xml:space="preserve">. На поворотах и через каждые </w:t>
      </w:r>
      <w:smartTag w:uri="urn:schemas-microsoft-com:office:smarttags" w:element="metricconverter">
        <w:smartTagPr>
          <w:attr w:name="ProductID" w:val="6 м"/>
        </w:smartTagPr>
        <w:r w:rsidRPr="006F65D9">
          <w:t>6 м</w:t>
        </w:r>
      </w:smartTag>
      <w:r w:rsidRPr="006F65D9">
        <w:t xml:space="preserve"> они должны иметь площадки для отдыха.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</w:t>
      </w:r>
      <w:smartTag w:uri="urn:schemas-microsoft-com:office:smarttags" w:element="metricconverter">
        <w:smartTagPr>
          <w:attr w:name="ProductID" w:val="3 м"/>
        </w:smartTagPr>
        <w:r w:rsidRPr="006F65D9">
          <w:t>3 м</w:t>
        </w:r>
      </w:smartTag>
      <w:r w:rsidRPr="006F65D9">
        <w:t xml:space="preserve"> и иметь двустороннее ограждение двух уровней: перила на высоте </w:t>
      </w:r>
      <w:smartTag w:uri="urn:schemas-microsoft-com:office:smarttags" w:element="metricconverter">
        <w:smartTagPr>
          <w:attr w:name="ProductID" w:val="90 см"/>
        </w:smartTagPr>
        <w:r w:rsidRPr="006F65D9">
          <w:t>90 см</w:t>
        </w:r>
      </w:smartTag>
      <w:r w:rsidRPr="006F65D9">
        <w:t xml:space="preserve"> и планка - на высоте </w:t>
      </w:r>
      <w:smartTag w:uri="urn:schemas-microsoft-com:office:smarttags" w:element="metricconverter">
        <w:smartTagPr>
          <w:attr w:name="ProductID" w:val="15 см"/>
        </w:smartTagPr>
        <w:r w:rsidRPr="006F65D9">
          <w:t>15 см</w:t>
        </w:r>
      </w:smartTag>
      <w:r w:rsidRPr="006F65D9"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</w:t>
      </w:r>
      <w:smartTag w:uri="urn:schemas-microsoft-com:office:smarttags" w:element="metricconverter">
        <w:smartTagPr>
          <w:attr w:name="ProductID" w:val="15 см"/>
        </w:smartTagPr>
        <w:r w:rsidRPr="006F65D9">
          <w:t>15 см</w:t>
        </w:r>
      </w:smartTag>
      <w:r w:rsidRPr="006F65D9">
        <w:t>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10.5. В вечернее время на территории должно быть обеспечено искусственное освещение для слабовидящих детей не менее 40 лк.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4 Приложения N 1.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10.9. Лестницы должны иметь двусторонние поручни и ограждение высотой </w:t>
      </w:r>
      <w:smartTag w:uri="urn:schemas-microsoft-com:office:smarttags" w:element="metricconverter">
        <w:smartTagPr>
          <w:attr w:name="ProductID" w:val="1,8 м"/>
        </w:smartTagPr>
        <w:r w:rsidRPr="006F65D9">
          <w:t>1,8 м</w:t>
        </w:r>
      </w:smartTag>
      <w:r w:rsidRPr="006F65D9">
        <w:t xml:space="preserve"> или сплошное ограждение сеткой.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</w:t>
      </w:r>
      <w:smartTag w:uri="urn:schemas-microsoft-com:office:smarttags" w:element="metricconverter">
        <w:smartTagPr>
          <w:attr w:name="ProductID" w:val="0,9 м"/>
        </w:smartTagPr>
        <w:r w:rsidRPr="006F65D9">
          <w:t>0,9 м</w:t>
        </w:r>
      </w:smartTag>
      <w:r w:rsidRPr="006F65D9">
        <w:t xml:space="preserve"> и дополнительный нижний поручень на высоте </w:t>
      </w:r>
      <w:smartTag w:uri="urn:schemas-microsoft-com:office:smarttags" w:element="metricconverter">
        <w:smartTagPr>
          <w:attr w:name="ProductID" w:val="0,5 м"/>
        </w:smartTagPr>
        <w:r w:rsidRPr="006F65D9">
          <w:t>0,5 м</w:t>
        </w:r>
      </w:smartTag>
      <w:r w:rsidRPr="006F65D9"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Предусматривают лифты, пандусы с уклоном 1:6. Пандусы должны иметь резиновое покрытие.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10.18. В помещениях с ваннами для лечебного массажа нормируемая температура воздуха составляет не менее 30 С, при расчете кратности обмена воздуха не менее 50 м</w:t>
      </w:r>
      <w:r w:rsidRPr="006F65D9">
        <w:rPr>
          <w:vertAlign w:val="superscript"/>
        </w:rPr>
        <w:t>3</w:t>
      </w:r>
      <w:r w:rsidRPr="006F65D9">
        <w:t> в час на ребенка.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5,5-6 часов, до 3 лет - в соответствии с медицинскими рекомендациями.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С и скорости ветра более 7 м/с продолжительность прогулки рекомендуется сокращать.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XII. Требования к организации физического воспитания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Длительность занятия с каждым ребенком составляет 6 - 10 минут.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Для реализации основной образовательной программы по физическому развитию в индивидуальной форме рекомендуется использовать стол высотой 72 - </w:t>
      </w:r>
      <w:smartTag w:uri="urn:schemas-microsoft-com:office:smarttags" w:element="metricconverter">
        <w:smartTagPr>
          <w:attr w:name="ProductID" w:val="75 см"/>
        </w:smartTagPr>
        <w:r w:rsidRPr="006F65D9">
          <w:t>75 см</w:t>
        </w:r>
      </w:smartTag>
      <w:r w:rsidRPr="006F65D9">
        <w:t xml:space="preserve">, шириной </w:t>
      </w:r>
      <w:smartTag w:uri="urn:schemas-microsoft-com:office:smarttags" w:element="metricconverter">
        <w:smartTagPr>
          <w:attr w:name="ProductID" w:val="80 см"/>
        </w:smartTagPr>
        <w:r w:rsidRPr="006F65D9">
          <w:t>80 см</w:t>
        </w:r>
      </w:smartTag>
      <w:r w:rsidRPr="006F65D9">
        <w:t xml:space="preserve">, длиной 90 - </w:t>
      </w:r>
      <w:smartTag w:uri="urn:schemas-microsoft-com:office:smarttags" w:element="metricconverter">
        <w:smartTagPr>
          <w:attr w:name="ProductID" w:val="100 см"/>
        </w:smartTagPr>
        <w:r w:rsidRPr="006F65D9">
          <w:t>100 см</w:t>
        </w:r>
      </w:smartTag>
      <w:r w:rsidRPr="006F65D9">
        <w:t>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12.4. С детьми второго и третьего года жизни занятия по физическому развитию основной образовательной программы осуществляют по подгруппам 2 - 3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drawing>
          <wp:inline distT="0" distB="0" distL="0" distR="0">
            <wp:extent cx="5372100" cy="1219200"/>
            <wp:effectExtent l="19050" t="0" r="0" b="0"/>
            <wp:docPr id="2" name="Рисунок 2" descr="http://img.rg.ru/pril/81/66/68/6133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rg.ru/pril/81/66/68/6133_3.gif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в младшей группе - 15 мин.,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в средней группе - 20 мин.,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в старшей группе - 25 мин.,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- в подготовительной группе - 30 мин.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12.8. При использовании сауны с целью закаливания и оздоровления детей необходимо соблюдать следующие требования: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во время проведения процедур необходимо избегать прямого воздействия теплового потока от калорифера на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в термокамере следует поддерживать температуру воздуха в пределах 60-70 С при относительной влажности 15-10%;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продолжительность первого посещения ребенком сауны не должна превышать 3 минут;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lastRenderedPageBreak/>
        <w:t>XIII. Требования к оборудованию пищеблока, инвентарю, посуде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Приложением N 4. Все технологическое и холодильное оборудование должно быть исправно.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13.3. Производственное оборудование, разделочный инвентарь и посуда должны отвечать следующим требованиям: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столы, предназначенные для обработки пищевых продуктов, должны быть цельнометаллическими;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доски и ножи должны быть промаркированы: "СМ" - сырое мясо, "СК" - сырые куры, "CP" - сырая рыба, "СО" - сырые овощи, "ВМ" - вареное мясо, "BP" -вареная рыба, "ВО" - вареные овощи, "гастрономия", "Сельдь", "X" - хлеб, "Зелень";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компоты и кисели готовят в посуде из нержавеющей стали. Для кипячения молока выделяют отдельную посуду;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кухонная посуда, столы, оборудование, инвентарь должны быть промаркированы и использоваться по назначению;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13.6. Для ополаскивания посуды (в том числе столовой) используются гибкие шланги с душевой насадкой.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13.9. В месте присоединения каждой производственной ванны к канализации должен быть воздушный разрыв не менее </w:t>
      </w:r>
      <w:smartTag w:uri="urn:schemas-microsoft-com:office:smarttags" w:element="metricconverter">
        <w:smartTagPr>
          <w:attr w:name="ProductID" w:val="20 мм"/>
        </w:smartTagPr>
        <w:r w:rsidRPr="006F65D9">
          <w:t>20 мм</w:t>
        </w:r>
      </w:smartTag>
      <w:r w:rsidRPr="006F65D9">
        <w:t xml:space="preserve"> от верха приемной воронки, которую устраивают выше сифонных устройств.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13.10. Кухонную посуду освобождают от остатков пищи и моют в двухсекционной ванне с соблюдением следующего режима: в первой секции -мытье щетками водой с температурой не ниже 40 С с добавлением моющих средств; во второй секции - ополаскивают проточной горячей водой с температурой не ниже 65 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</w:t>
      </w:r>
      <w:smartTag w:uri="urn:schemas-microsoft-com:office:smarttags" w:element="metricconverter">
        <w:smartTagPr>
          <w:attr w:name="ProductID" w:val="0,35 м"/>
        </w:smartTagPr>
        <w:r w:rsidRPr="006F65D9">
          <w:t>0,35 м</w:t>
        </w:r>
      </w:smartTag>
      <w:r w:rsidRPr="006F65D9">
        <w:t xml:space="preserve"> от пола.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13.11. Разделочные доски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Посуду и столовые приборы моют в 2-гнездных ваннах, установленных в буфетных каждой групповой ячейки.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 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Щетки с наличием дефектов и видимых загрязнений, а также металлические мочалки не используются.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13.20. В помещениях пищеблока дезинсекция и дератизация проводится специализированными организациями.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XIV. Требования к условиям хранения, приготовления и реализации пищевых продуктов и кулинарных изделий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Продукция поступает в таре производителя (поставщика).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(Приложение 6), который хранится в течение года.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14.3. При наличии одной холодильной камеры, места хранения мяса, рыбы и молочных продуктов должны быть разграничены.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14.6. Молоко хранится в той же таре, в которой оно поступило или в потребительской упаковке.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14.5. Масло сливочное хранятся на полках в заводской таре или брусками, завернутыми в пергамент, в лотках.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Крупные сыры хранятся на стеллажах, мелкие сыры - на полках в потребительской таре.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Сметана, творог хранятся в таре с крышкой.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Не допускается оставлять ложки, лопатки в таре со сметаной, творогом.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</w:t>
      </w:r>
      <w:smartTag w:uri="urn:schemas-microsoft-com:office:smarttags" w:element="metricconverter">
        <w:smartTagPr>
          <w:attr w:name="ProductID" w:val="15 см"/>
        </w:smartTagPr>
        <w:r w:rsidRPr="006F65D9">
          <w:t>15 см</w:t>
        </w:r>
      </w:smartTag>
      <w:r w:rsidRPr="006F65D9">
        <w:t xml:space="preserve">, расстояние между стеной и продуктами должно быть не менее </w:t>
      </w:r>
      <w:smartTag w:uri="urn:schemas-microsoft-com:office:smarttags" w:element="metricconverter">
        <w:smartTagPr>
          <w:attr w:name="ProductID" w:val="20 см"/>
        </w:smartTagPr>
        <w:r w:rsidRPr="006F65D9">
          <w:t>20 см</w:t>
        </w:r>
      </w:smartTag>
      <w:r w:rsidRPr="006F65D9"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Ржаной и пшеничный хлеб хранятся раздельно на стеллажах и в шкафах, при расстоянии нижней полки от пола не менее </w:t>
      </w:r>
      <w:smartTag w:uri="urn:schemas-microsoft-com:office:smarttags" w:element="metricconverter">
        <w:smartTagPr>
          <w:attr w:name="ProductID" w:val="35 см"/>
        </w:smartTagPr>
        <w:r w:rsidRPr="006F65D9">
          <w:t>35 см</w:t>
        </w:r>
      </w:smartTag>
      <w:r w:rsidRPr="006F65D9">
        <w:t>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 +10 С.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Плоды и зелень хранятся в ящиках в прохладном месте при температуре не выше +12 С. Озелененный картофель не допускается использовать в пищу.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 С 2 С, но не более одного часа.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2 - 3 минут.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(Приложение 7), а также соблюдать санитарно-эпидемиологические требования к технологическим процессам приготовления блюд.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Котлеты, биточки из мясного или рыбного фарша, рыбу кусками запекаются при температуре 250-280 С в течение 20-25 мин.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 С до раздачи не более 1 часа.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Омлеты и запеканки, в рецептуру которых входит яйцо, готовятся в жарочном шкафу, омлеты - в течение 8-10 минут при температуре 180-200 С, слоем не более 2,5-</w:t>
      </w:r>
      <w:smartTag w:uri="urn:schemas-microsoft-com:office:smarttags" w:element="metricconverter">
        <w:smartTagPr>
          <w:attr w:name="ProductID" w:val="3 см"/>
        </w:smartTagPr>
        <w:r w:rsidRPr="006F65D9">
          <w:t>3 см</w:t>
        </w:r>
      </w:smartTag>
      <w:r w:rsidRPr="006F65D9">
        <w:t>; запеканки - 20-30 минут при температуре 220-280 С, слоем не более 3-</w:t>
      </w:r>
      <w:smartTag w:uri="urn:schemas-microsoft-com:office:smarttags" w:element="metricconverter">
        <w:smartTagPr>
          <w:attr w:name="ProductID" w:val="4 см"/>
        </w:smartTagPr>
        <w:r w:rsidRPr="006F65D9">
          <w:t>4 см</w:t>
        </w:r>
      </w:smartTag>
      <w:r w:rsidRPr="006F65D9">
        <w:t>; хранение яичной массы осуществляется не более 30 минут при температуре 4 2 С.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Оладьи, сырники выпекаются в духовом или жарочном шкафу при температуре 180-200 С в течение 8-10 мин.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Яйцо варят после закипания воды 10 мин.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изготовлении картофельного (овощного) пюре используется овощепротирочная машина.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14.13. Крупы не должны содержать посторонних примесей. Перед использованием крупы промывают проточной водой.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14.14. Потребительскую упаковку консервированных продуктов перед вскрытием промывают проточной водой и вытирают.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14.15.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14.16. При обработке овощей должны быть соблюдены следующие требования: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Не допускается предварительное замачивание овощей.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14.16.5. Варка овощей накануне дня приготовления блюд не допускается.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14.16.6. Отваренные для салатов овощи хранят в промаркированной емкости (овощи вареные) в холодильнике не более 6 часов при температуре плюс 4 2 С.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14.17. Изготовление салатов и их заправка осуществляется непосредственно перед раздачей.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Не заправленные салаты допускается хранить не более 2 часов при температуре плюс 4+/-2 С. Салаты заправляют непосредственно перед раздачей.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Хранение заправленных салатов может осуществляться не более 30 минут при температуре 4 2 С.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14.20. В эндемичных по йоду районах рекомендуется использование йодированной поваренной соли.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 мг, для детей 3-6 лет - 50,0 мг на порцию.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Препараты витаминов вводят в третье блюдо (компот или кисель) после его охлаждения до температуры 15 С (для компота) и 35 С (для киселя) непосредственно перед реализацией.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Данные о витаминизации блюд заносятся медицинским работником в журнал проведения витаминизации третьих и сладких блюд (таблица 2 Приложения N 8), который храниться один год.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14.22. Перед кормлением детей продукты детского питания (смеси) подогреваются в водяной бане (температура воды +50 С) в течение 5 минут или в электронагревателе для детского питания до температуры +37 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(таблица 1 Приложения N 8).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 w:rsidRPr="006F65D9">
          <w:t>100 г</w:t>
        </w:r>
      </w:smartTag>
      <w:r w:rsidRPr="006F65D9">
        <w:t>.; порционные вторые блюда, биточки, котлеты, колбаса, бутерброды и т.д. оставляют поштучно, целиком (в объеме одной порции).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+2... - +6 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использование пищевых продуктов, указанных в Приложении N 9;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Допускается использование кипяченной питьевой воды, при условии ее хранения не более 3 часов.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Обработка дозирующих устройств проводится в соответствии с эксплуатационной документации (инструкции) изготовителя.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XV. Требования к составлению меню для организации питания детей разного возраста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drawing>
          <wp:inline distT="0" distB="0" distL="0" distR="0">
            <wp:extent cx="4962525" cy="1504950"/>
            <wp:effectExtent l="19050" t="0" r="9525" b="0"/>
            <wp:docPr id="3" name="Рисунок 3" descr="http://img.rg.ru/pril/81/66/68/6133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rg.ru/pril/81/66/68/6133_4.gif"/>
                    <pic:cNvPicPr>
                      <a:picLocks noChangeAspect="1" noChangeArrowheads="1"/>
                    </pic:cNvPicPr>
                  </pic:nvPicPr>
                  <pic:blipFill>
                    <a:blip r:embed="rId10" r:link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Примечание: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* потребности для детей первого года жизни в энергии, жирах, углеводах даны в расчете г/кг массы тела;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** - потребности для детей первого года жизни, находящихся на искусственном вскармливании.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Перетаривание готовой кулинарной продукции и блюд не допускается.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(Приложение 10).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примерном меню содержание белков должно обеспечивать 12-15% от калорийности рациона, жиров 30-32%) и углеводов 55-58%.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(Приложение N 11).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lastRenderedPageBreak/>
        <w:drawing>
          <wp:inline distT="0" distB="0" distL="0" distR="0">
            <wp:extent cx="5191125" cy="2000250"/>
            <wp:effectExtent l="19050" t="0" r="9525" b="0"/>
            <wp:docPr id="4" name="Рисунок 4" descr="http://img.rg.ru/pril/81/66/68/6133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rg.ru/pril/81/66/68/6133_5.gif"/>
                    <pic:cNvPicPr>
                      <a:picLocks noChangeAspect="1" noChangeArrowheads="1"/>
                    </pic:cNvPicPr>
                  </pic:nvPicPr>
                  <pic:blipFill>
                    <a:blip r:embed="rId12" r:link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15.5. Примерное меню должно содержать информацию в соответствии с Приложением N 12.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 Приложению N 7.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Фактический рацион питания должен соответствовать утвержденному примерному меню.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Суммарные объемы блюд по приемам пищи должны соответствовать Приложению N 13.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(Приложение N 14).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При отсутствии свежих овощей и фруктов возможна их замена в меню на соки, быстрозамороженные овощи и фрукты.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Для детей, начиная с 9-месячного возраста, оптимальным является прием пищи с интервалом не более 4 часов.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drawing>
          <wp:inline distT="0" distB="0" distL="0" distR="0">
            <wp:extent cx="5295900" cy="1762125"/>
            <wp:effectExtent l="19050" t="0" r="0" b="0"/>
            <wp:docPr id="5" name="Рисунок 5" descr="http://img.rg.ru/pril/81/66/68/6133_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mg.rg.ru/pril/81/66/68/6133_6.gif"/>
                    <pic:cNvPicPr>
                      <a:picLocks noChangeAspect="1" noChangeArrowheads="1"/>
                    </pic:cNvPicPr>
                  </pic:nvPicPr>
                  <pic:blipFill>
                    <a:blip r:embed="rId14" r:link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* При 12-часовом пребывании возможна организация как отдельного полдника, так и уплотненного полдника с включением блюд ужина.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(Приложение N 15).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указывается наименование блюда и объем порции, а также замены блюд для детей с пищевыми аллергиями и сахарным диабетом.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lastRenderedPageBreak/>
        <w:t>XVI. Требования к перевозке и приему пищевых продуктов в дошкольные образовательные организации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Транспортные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Термосы подлежат обработке в соответствии с инструкциями по применению.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XVII. Требования к санитарному содержанию помещений дошкольных образовательных организаций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Влажная уборка в спальнях проводится после ночного и дневного сна, в групповых - после каждого приема пищи.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 xml:space="preserve"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генеральных уборок ковровое покрытие подвергается влажной обработке. </w:t>
      </w:r>
      <w:r w:rsidRPr="006F65D9">
        <w:lastRenderedPageBreak/>
        <w:t>Возможно использование моющего пылесоса. После каждого занятия спортивный зал проветривается в течение не менее 10 минут.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Игрушки моют в специально выделенных, промаркированных емкостях.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Очистка шахт вытяжной вентиляции проводится по мере загрязнения.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17.12. Приобретенные игрушки (за исключением мягконабивных) перед поступлением в групповые моются проточной водой (температура 37 С) с мылом или иным моющим средством, безвредным для здоровья детей, и затем высушивают на воздухе.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Пенолатексные ворсованые игрушки и мягконабивные игрушки обрабатываются согласно инструкции изготовителя.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XVIII. Основные гигиенические и противоэпидемические мероприятия, проводимые медицинским персоналом в дошкольных образовательных организациях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- работу по организации профилактических осмотров воспитанников и проведение профилактических прививок;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распределение детей на медицинские группы для занятий физическим воспитанием;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организацию и контроль за проведением профилактических и санитарно-противоэпидемических мероприятий;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работу с персоналом и детьми по формированию здорового образа жизни (организация "дней здоровья", игр, викторин и другие);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контроль за пищеблоком и питанием детей;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ведение медицинской документации.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ежедневно 2 раза (утром и вечером) проводить влажную уборку помещений с применением мыльно-содового раствора;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 xml:space="preserve">- 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</w:t>
      </w:r>
      <w:smartTag w:uri="urn:schemas-microsoft-com:office:smarttags" w:element="metricconverter">
        <w:smartTagPr>
          <w:attr w:name="ProductID" w:val="25 см"/>
        </w:smartTagPr>
        <w:r w:rsidRPr="006F65D9">
          <w:t>25 см</w:t>
        </w:r>
      </w:smartTag>
      <w:r w:rsidRPr="006F65D9">
        <w:t>) ковры, дорожки, мягкие игрушки и убрать их до завершения заключительной дезинвазии;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r w:rsidRPr="006F65D9">
        <w:rPr>
          <w:vertAlign w:val="superscript"/>
        </w:rPr>
        <w:t>3</w:t>
      </w:r>
      <w:r w:rsidRPr="006F65D9">
        <w:t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r w:rsidRPr="006F65D9">
        <w:rPr>
          <w:vertAlign w:val="superscript"/>
        </w:rPr>
        <w:t>4</w:t>
      </w:r>
      <w:r w:rsidRPr="006F65D9">
        <w:t>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национальным календарем профилактических прививок.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(Приложение N 16).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lastRenderedPageBreak/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19.6. Воспитатели и помощники воспитателя обеспечиваются спецодеждой (халаты светлых тонов).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b/>
          <w:bCs/>
        </w:rPr>
        <w:t>XX. Требования к соблюдению санитарных правил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наличие текста настоящих санитарных правил в организации и доведение содержания правил до работников учреждения;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выполнение требований санитарных правил всеми работниками учреждения;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необходимые условия для соблюдения санитарных правил;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наличие личных медицинских книжек на каждого работника;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организацию мероприятий по дезинфекции, дезинсекции и дератизации;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- исправную работу технологического, холодильного и другого оборудования учреждения.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vertAlign w:val="superscript"/>
        </w:rPr>
        <w:t>1</w:t>
      </w:r>
      <w:r w:rsidRPr="006F65D9">
        <w:t> Рекомендации - добровольного исполнения, не носят обязательный характер.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vertAlign w:val="superscript"/>
        </w:rPr>
        <w:t>2</w:t>
      </w:r>
      <w:r w:rsidRPr="006F65D9">
        <w:rPr>
          <w:rStyle w:val="apple-converted-space"/>
        </w:rPr>
        <w:t> </w:t>
      </w:r>
      <w:r w:rsidRPr="006F65D9">
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vertAlign w:val="superscript"/>
        </w:rPr>
        <w:t>3</w:t>
      </w:r>
      <w:r w:rsidRPr="006F65D9">
        <w:rPr>
          <w:rStyle w:val="apple-converted-space"/>
        </w:rPr>
        <w:t> </w:t>
      </w:r>
      <w:r w:rsidRPr="006F65D9">
        <w:t xml:space="preserve">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</w:t>
      </w:r>
      <w:r w:rsidRPr="006F65D9">
        <w:lastRenderedPageBreak/>
        <w:t>вредными и (или) опасными условиями труда" (Зарегистрирован Минюстом России 21.10.2011, регистрационный N 22111).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 w:rsidRPr="006F65D9">
        <w:rPr>
          <w:vertAlign w:val="superscript"/>
        </w:rPr>
        <w:t>4</w:t>
      </w:r>
      <w:r w:rsidRPr="006F65D9">
        <w:t> Приказ Минздравсоцразвития России от 31.01.2011 N 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 01/8577-ДК).</w:t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  <w:jc w:val="center"/>
      </w:pPr>
      <w:r>
        <w:rPr>
          <w:noProof/>
        </w:rPr>
        <w:lastRenderedPageBreak/>
        <w:drawing>
          <wp:inline distT="0" distB="0" distL="0" distR="0">
            <wp:extent cx="3676650" cy="9305925"/>
            <wp:effectExtent l="19050" t="0" r="0" b="0"/>
            <wp:docPr id="6" name="Рисунок 6" descr="http://img.rg.ru/pril/81/66/68/6133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rg.ru/pril/81/66/68/6133_7.gif"/>
                    <pic:cNvPicPr>
                      <a:picLocks noChangeAspect="1" noChangeArrowheads="1"/>
                    </pic:cNvPicPr>
                  </pic:nvPicPr>
                  <pic:blipFill>
                    <a:blip r:embed="rId16" r:link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  <w:jc w:val="center"/>
      </w:pPr>
      <w:r>
        <w:rPr>
          <w:noProof/>
        </w:rPr>
        <w:lastRenderedPageBreak/>
        <w:drawing>
          <wp:inline distT="0" distB="0" distL="0" distR="0">
            <wp:extent cx="5048250" cy="1581150"/>
            <wp:effectExtent l="19050" t="0" r="0" b="0"/>
            <wp:docPr id="7" name="Рисунок 7" descr="http://img.rg.ru/pril/81/66/68/6133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.rg.ru/pril/81/66/68/6133_8.gif"/>
                    <pic:cNvPicPr>
                      <a:picLocks noChangeAspect="1" noChangeArrowheads="1"/>
                    </pic:cNvPicPr>
                  </pic:nvPicPr>
                  <pic:blipFill>
                    <a:blip r:embed="rId18" r:link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  <w:jc w:val="center"/>
      </w:pPr>
      <w:r>
        <w:rPr>
          <w:noProof/>
        </w:rPr>
        <w:drawing>
          <wp:inline distT="0" distB="0" distL="0" distR="0">
            <wp:extent cx="4552950" cy="3057525"/>
            <wp:effectExtent l="19050" t="0" r="0" b="0"/>
            <wp:docPr id="8" name="Рисунок 8" descr="http://img.rg.ru/pril/81/66/68/6133_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g.rg.ru/pril/81/66/68/6133_9.gif"/>
                    <pic:cNvPicPr>
                      <a:picLocks noChangeAspect="1" noChangeArrowheads="1"/>
                    </pic:cNvPicPr>
                  </pic:nvPicPr>
                  <pic:blipFill>
                    <a:blip r:embed="rId20" r:link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jc w:val="center"/>
      </w:pPr>
      <w:r>
        <w:rPr>
          <w:noProof/>
        </w:rPr>
        <w:drawing>
          <wp:inline distT="0" distB="0" distL="0" distR="0">
            <wp:extent cx="4457700" cy="4067175"/>
            <wp:effectExtent l="19050" t="0" r="0" b="0"/>
            <wp:docPr id="9" name="Рисунок 9" descr="http://www.rg.ru/pril/81/66/68/6133_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rg.ru/pril/81/66/68/6133_10.gif"/>
                    <pic:cNvPicPr>
                      <a:picLocks noChangeAspect="1" noChangeArrowheads="1"/>
                    </pic:cNvPicPr>
                  </pic:nvPicPr>
                  <pic:blipFill>
                    <a:blip r:embed="rId22" r:link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/>
    <w:p w:rsidR="002E155E" w:rsidRPr="006F65D9" w:rsidRDefault="002E155E" w:rsidP="002E155E"/>
    <w:p w:rsidR="002E155E" w:rsidRPr="006F65D9" w:rsidRDefault="002E155E" w:rsidP="002E155E">
      <w:pPr>
        <w:jc w:val="center"/>
      </w:pPr>
      <w:r>
        <w:rPr>
          <w:noProof/>
        </w:rPr>
        <w:lastRenderedPageBreak/>
        <w:drawing>
          <wp:inline distT="0" distB="0" distL="0" distR="0">
            <wp:extent cx="4572000" cy="2266950"/>
            <wp:effectExtent l="19050" t="0" r="0" b="0"/>
            <wp:docPr id="10" name="Рисунок 10" descr="http://www.rg.ru/pril/81/66/68/6133_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rg.ru/pril/81/66/68/6133_11.gif"/>
                    <pic:cNvPicPr>
                      <a:picLocks noChangeAspect="1" noChangeArrowheads="1"/>
                    </pic:cNvPicPr>
                  </pic:nvPicPr>
                  <pic:blipFill>
                    <a:blip r:embed="rId24" r:link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/>
    <w:p w:rsidR="002E155E" w:rsidRPr="006F65D9" w:rsidRDefault="002E155E" w:rsidP="002E155E"/>
    <w:p w:rsidR="002E155E" w:rsidRPr="006F65D9" w:rsidRDefault="002E155E" w:rsidP="002E155E">
      <w:pPr>
        <w:jc w:val="center"/>
      </w:pPr>
      <w:r>
        <w:rPr>
          <w:noProof/>
        </w:rPr>
        <w:drawing>
          <wp:inline distT="0" distB="0" distL="0" distR="0">
            <wp:extent cx="4800600" cy="1152525"/>
            <wp:effectExtent l="19050" t="0" r="0" b="0"/>
            <wp:docPr id="11" name="Рисунок 11" descr="http://www.rg.ru/pril/81/66/68/6133_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rg.ru/pril/81/66/68/6133_12.gif"/>
                    <pic:cNvPicPr>
                      <a:picLocks noChangeAspect="1" noChangeArrowheads="1"/>
                    </pic:cNvPicPr>
                  </pic:nvPicPr>
                  <pic:blipFill>
                    <a:blip r:embed="rId26" r:link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jc w:val="center"/>
      </w:pPr>
    </w:p>
    <w:p w:rsidR="002E155E" w:rsidRPr="006F65D9" w:rsidRDefault="002E155E" w:rsidP="002E155E">
      <w:pPr>
        <w:jc w:val="center"/>
      </w:pPr>
      <w:r>
        <w:rPr>
          <w:noProof/>
        </w:rPr>
        <w:drawing>
          <wp:inline distT="0" distB="0" distL="0" distR="0">
            <wp:extent cx="4591050" cy="2676525"/>
            <wp:effectExtent l="19050" t="0" r="0" b="0"/>
            <wp:docPr id="12" name="Рисунок 12" descr="http://www.rg.ru/pril/81/66/68/6133_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rg.ru/pril/81/66/68/6133_13.gif"/>
                    <pic:cNvPicPr>
                      <a:picLocks noChangeAspect="1" noChangeArrowheads="1"/>
                    </pic:cNvPicPr>
                  </pic:nvPicPr>
                  <pic:blipFill>
                    <a:blip r:embed="rId28" r:link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/>
    <w:p w:rsidR="002E155E" w:rsidRPr="006F65D9" w:rsidRDefault="002E155E" w:rsidP="002E155E"/>
    <w:p w:rsidR="002E155E" w:rsidRPr="006F65D9" w:rsidRDefault="002E155E" w:rsidP="002E155E"/>
    <w:p w:rsidR="002E155E" w:rsidRPr="006F65D9" w:rsidRDefault="002E155E" w:rsidP="002E155E">
      <w:pPr>
        <w:jc w:val="center"/>
      </w:pPr>
      <w:r>
        <w:rPr>
          <w:noProof/>
        </w:rPr>
        <w:lastRenderedPageBreak/>
        <w:drawing>
          <wp:inline distT="0" distB="0" distL="0" distR="0">
            <wp:extent cx="4067175" cy="2838450"/>
            <wp:effectExtent l="19050" t="0" r="9525" b="0"/>
            <wp:docPr id="13" name="Рисунок 13" descr="http://www.rg.ru/pril/81/66/68/6133_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g.ru/pril/81/66/68/6133_14.gif"/>
                    <pic:cNvPicPr>
                      <a:picLocks noChangeAspect="1" noChangeArrowheads="1"/>
                    </pic:cNvPicPr>
                  </pic:nvPicPr>
                  <pic:blipFill>
                    <a:blip r:embed="rId30" r:link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/>
    <w:p w:rsidR="002E155E" w:rsidRPr="006F65D9" w:rsidRDefault="002E155E" w:rsidP="002E155E">
      <w:pPr>
        <w:tabs>
          <w:tab w:val="left" w:pos="1356"/>
        </w:tabs>
      </w:pPr>
      <w:r w:rsidRPr="006F65D9">
        <w:tab/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lastRenderedPageBreak/>
        <w:drawing>
          <wp:inline distT="0" distB="0" distL="0" distR="0">
            <wp:extent cx="5400675" cy="7639050"/>
            <wp:effectExtent l="19050" t="0" r="9525" b="0"/>
            <wp:docPr id="14" name="Рисунок 14" descr="http://img.rg.ru/pril/81/66/68/6133_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mg.rg.ru/pril/81/66/68/6133_15.gif"/>
                    <pic:cNvPicPr>
                      <a:picLocks noChangeAspect="1" noChangeArrowheads="1"/>
                    </pic:cNvPicPr>
                  </pic:nvPicPr>
                  <pic:blipFill>
                    <a:blip r:embed="rId32" r:link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lastRenderedPageBreak/>
        <w:drawing>
          <wp:inline distT="0" distB="0" distL="0" distR="0">
            <wp:extent cx="5172075" cy="11591925"/>
            <wp:effectExtent l="19050" t="0" r="9525" b="0"/>
            <wp:docPr id="15" name="Рисунок 15" descr="http://img.rg.ru/pril/81/66/68/6133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img.rg.ru/pril/81/66/68/6133_16.gif"/>
                    <pic:cNvPicPr>
                      <a:picLocks noChangeAspect="1" noChangeArrowheads="1"/>
                    </pic:cNvPicPr>
                  </pic:nvPicPr>
                  <pic:blipFill>
                    <a:blip r:embed="rId34" r:link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1159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lastRenderedPageBreak/>
        <w:drawing>
          <wp:inline distT="0" distB="0" distL="0" distR="0">
            <wp:extent cx="5181600" cy="10334625"/>
            <wp:effectExtent l="19050" t="0" r="0" b="0"/>
            <wp:docPr id="16" name="Рисунок 16" descr="http://img.rg.ru/pril/81/66/68/6133_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g.rg.ru/pril/81/66/68/6133_17.gif"/>
                    <pic:cNvPicPr>
                      <a:picLocks noChangeAspect="1" noChangeArrowheads="1"/>
                    </pic:cNvPicPr>
                  </pic:nvPicPr>
                  <pic:blipFill>
                    <a:blip r:embed="rId36" r:link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033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lastRenderedPageBreak/>
        <w:drawing>
          <wp:inline distT="0" distB="0" distL="0" distR="0">
            <wp:extent cx="4933950" cy="3524250"/>
            <wp:effectExtent l="19050" t="0" r="0" b="0"/>
            <wp:docPr id="17" name="Рисунок 17" descr="http://img.rg.ru/pril/81/66/68/6133_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img.rg.ru/pril/81/66/68/6133_18.gif"/>
                    <pic:cNvPicPr>
                      <a:picLocks noChangeAspect="1" noChangeArrowheads="1"/>
                    </pic:cNvPicPr>
                  </pic:nvPicPr>
                  <pic:blipFill>
                    <a:blip r:embed="rId38" r:link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drawing>
          <wp:inline distT="0" distB="0" distL="0" distR="0">
            <wp:extent cx="4933950" cy="962025"/>
            <wp:effectExtent l="19050" t="0" r="0" b="0"/>
            <wp:docPr id="18" name="Рисунок 18" descr="http://img.rg.ru/pril/81/66/68/6133_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img.rg.ru/pril/81/66/68/6133_19.gif"/>
                    <pic:cNvPicPr>
                      <a:picLocks noChangeAspect="1" noChangeArrowheads="1"/>
                    </pic:cNvPicPr>
                  </pic:nvPicPr>
                  <pic:blipFill>
                    <a:blip r:embed="rId40" r:link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lastRenderedPageBreak/>
        <w:drawing>
          <wp:inline distT="0" distB="0" distL="0" distR="0">
            <wp:extent cx="5248275" cy="9182100"/>
            <wp:effectExtent l="19050" t="0" r="9525" b="0"/>
            <wp:docPr id="19" name="Рисунок 19" descr="http://img.rg.ru/pril/81/66/68/6133_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rg.ru/pril/81/66/68/6133_20.gif"/>
                    <pic:cNvPicPr>
                      <a:picLocks noChangeAspect="1" noChangeArrowheads="1"/>
                    </pic:cNvPicPr>
                  </pic:nvPicPr>
                  <pic:blipFill>
                    <a:blip r:embed="rId42" r:link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lastRenderedPageBreak/>
        <w:drawing>
          <wp:inline distT="0" distB="0" distL="0" distR="0">
            <wp:extent cx="5048250" cy="3209925"/>
            <wp:effectExtent l="19050" t="0" r="0" b="0"/>
            <wp:docPr id="20" name="Рисунок 20" descr="http://img.rg.ru/pril/81/66/68/6133_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img.rg.ru/pril/81/66/68/6133_21.gif"/>
                    <pic:cNvPicPr>
                      <a:picLocks noChangeAspect="1" noChangeArrowheads="1"/>
                    </pic:cNvPicPr>
                  </pic:nvPicPr>
                  <pic:blipFill>
                    <a:blip r:embed="rId44" r:link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5E" w:rsidRPr="006F65D9" w:rsidRDefault="002E155E" w:rsidP="002E155E">
      <w:pPr>
        <w:pStyle w:val="a4"/>
        <w:shd w:val="clear" w:color="auto" w:fill="FFFFFF"/>
        <w:spacing w:before="240" w:beforeAutospacing="0" w:after="240" w:afterAutospacing="0"/>
        <w:ind w:left="480"/>
      </w:pPr>
      <w:r>
        <w:rPr>
          <w:noProof/>
        </w:rPr>
        <w:drawing>
          <wp:inline distT="0" distB="0" distL="0" distR="0">
            <wp:extent cx="4819650" cy="2028825"/>
            <wp:effectExtent l="19050" t="0" r="0" b="0"/>
            <wp:docPr id="21" name="Рисунок 21" descr="http://img.rg.ru/pril/81/66/68/6133_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img.rg.ru/pril/81/66/68/6133_22.gif"/>
                    <pic:cNvPicPr>
                      <a:picLocks noChangeAspect="1" noChangeArrowheads="1"/>
                    </pic:cNvPicPr>
                  </pic:nvPicPr>
                  <pic:blipFill>
                    <a:blip r:embed="rId46" r:link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attachments"/>
      <w:bookmarkEnd w:id="0"/>
    </w:p>
    <w:p w:rsidR="002E155E" w:rsidRPr="006F65D9" w:rsidRDefault="002E155E" w:rsidP="002E155E"/>
    <w:p w:rsidR="002E155E" w:rsidRPr="006F65D9" w:rsidRDefault="002E155E" w:rsidP="002E155E"/>
    <w:p w:rsidR="002E155E" w:rsidRPr="006F65D9" w:rsidRDefault="002E155E" w:rsidP="002E155E"/>
    <w:p w:rsidR="00E54CC8" w:rsidRDefault="00E54CC8"/>
    <w:sectPr w:rsidR="00E54CC8" w:rsidSect="006F65D9">
      <w:pgSz w:w="11906" w:h="16838"/>
      <w:pgMar w:top="540" w:right="566" w:bottom="899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E155E"/>
    <w:rsid w:val="002E155E"/>
    <w:rsid w:val="00E54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2E15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2E15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qFormat/>
    <w:rsid w:val="002E15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15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2E15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rsid w:val="002E155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rsid w:val="002E155E"/>
    <w:rPr>
      <w:color w:val="0000FF"/>
      <w:u w:val="single"/>
    </w:rPr>
  </w:style>
  <w:style w:type="paragraph" w:styleId="a4">
    <w:name w:val="Normal (Web)"/>
    <w:basedOn w:val="a"/>
    <w:rsid w:val="002E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E155E"/>
  </w:style>
  <w:style w:type="character" w:customStyle="1" w:styleId="tik-text">
    <w:name w:val="tik-text"/>
    <w:basedOn w:val="a0"/>
    <w:rsid w:val="002E155E"/>
  </w:style>
  <w:style w:type="paragraph" w:styleId="a5">
    <w:name w:val="Balloon Text"/>
    <w:basedOn w:val="a"/>
    <w:link w:val="a6"/>
    <w:uiPriority w:val="99"/>
    <w:semiHidden/>
    <w:unhideWhenUsed/>
    <w:rsid w:val="002E1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img.rg.ru/pril/81/66/68/6133_5.gif" TargetMode="External"/><Relationship Id="rId18" Type="http://schemas.openxmlformats.org/officeDocument/2006/relationships/image" Target="media/image7.gif"/><Relationship Id="rId26" Type="http://schemas.openxmlformats.org/officeDocument/2006/relationships/image" Target="media/image11.gif"/><Relationship Id="rId39" Type="http://schemas.openxmlformats.org/officeDocument/2006/relationships/image" Target="http://img.rg.ru/pril/81/66/68/6133_18.gif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img.rg.ru/pril/81/66/68/6133_9.gif" TargetMode="External"/><Relationship Id="rId34" Type="http://schemas.openxmlformats.org/officeDocument/2006/relationships/image" Target="media/image15.gif"/><Relationship Id="rId42" Type="http://schemas.openxmlformats.org/officeDocument/2006/relationships/image" Target="media/image19.gif"/><Relationship Id="rId47" Type="http://schemas.openxmlformats.org/officeDocument/2006/relationships/image" Target="http://img.rg.ru/pril/81/66/68/6133_22.gif" TargetMode="External"/><Relationship Id="rId7" Type="http://schemas.openxmlformats.org/officeDocument/2006/relationships/image" Target="http://img.rg.ru/pril/81/66/68/6133_2.gif" TargetMode="External"/><Relationship Id="rId12" Type="http://schemas.openxmlformats.org/officeDocument/2006/relationships/image" Target="media/image4.gif"/><Relationship Id="rId17" Type="http://schemas.openxmlformats.org/officeDocument/2006/relationships/image" Target="http://img.rg.ru/pril/81/66/68/6133_7.gif" TargetMode="External"/><Relationship Id="rId25" Type="http://schemas.openxmlformats.org/officeDocument/2006/relationships/image" Target="http://www.rg.ru/pril/81/66/68/6133_11.gif" TargetMode="External"/><Relationship Id="rId33" Type="http://schemas.openxmlformats.org/officeDocument/2006/relationships/image" Target="http://img.rg.ru/pril/81/66/68/6133_15.gif" TargetMode="External"/><Relationship Id="rId38" Type="http://schemas.openxmlformats.org/officeDocument/2006/relationships/image" Target="media/image17.gif"/><Relationship Id="rId46" Type="http://schemas.openxmlformats.org/officeDocument/2006/relationships/image" Target="media/image21.gif"/><Relationship Id="rId2" Type="http://schemas.openxmlformats.org/officeDocument/2006/relationships/settings" Target="settings.xml"/><Relationship Id="rId16" Type="http://schemas.openxmlformats.org/officeDocument/2006/relationships/image" Target="media/image6.gif"/><Relationship Id="rId20" Type="http://schemas.openxmlformats.org/officeDocument/2006/relationships/image" Target="media/image8.gif"/><Relationship Id="rId29" Type="http://schemas.openxmlformats.org/officeDocument/2006/relationships/image" Target="http://www.rg.ru/pril/81/66/68/6133_13.gif" TargetMode="External"/><Relationship Id="rId41" Type="http://schemas.openxmlformats.org/officeDocument/2006/relationships/image" Target="http://img.rg.ru/pril/81/66/68/6133_19.g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http://img.rg.ru/pril/81/66/68/6133_4.gif" TargetMode="External"/><Relationship Id="rId24" Type="http://schemas.openxmlformats.org/officeDocument/2006/relationships/image" Target="media/image10.gif"/><Relationship Id="rId32" Type="http://schemas.openxmlformats.org/officeDocument/2006/relationships/image" Target="media/image14.gif"/><Relationship Id="rId37" Type="http://schemas.openxmlformats.org/officeDocument/2006/relationships/image" Target="http://img.rg.ru/pril/81/66/68/6133_17.gif" TargetMode="External"/><Relationship Id="rId40" Type="http://schemas.openxmlformats.org/officeDocument/2006/relationships/image" Target="media/image18.gif"/><Relationship Id="rId45" Type="http://schemas.openxmlformats.org/officeDocument/2006/relationships/image" Target="http://img.rg.ru/pril/81/66/68/6133_21.gif" TargetMode="External"/><Relationship Id="rId5" Type="http://schemas.openxmlformats.org/officeDocument/2006/relationships/hyperlink" Target="http://www.rg.ru/gazeta/rg/2013/07/19.html" TargetMode="External"/><Relationship Id="rId15" Type="http://schemas.openxmlformats.org/officeDocument/2006/relationships/image" Target="http://img.rg.ru/pril/81/66/68/6133_6.gif" TargetMode="External"/><Relationship Id="rId23" Type="http://schemas.openxmlformats.org/officeDocument/2006/relationships/image" Target="http://www.rg.ru/pril/81/66/68/6133_10.gif" TargetMode="External"/><Relationship Id="rId28" Type="http://schemas.openxmlformats.org/officeDocument/2006/relationships/image" Target="media/image12.gif"/><Relationship Id="rId36" Type="http://schemas.openxmlformats.org/officeDocument/2006/relationships/image" Target="media/image16.gif"/><Relationship Id="rId49" Type="http://schemas.openxmlformats.org/officeDocument/2006/relationships/theme" Target="theme/theme1.xml"/><Relationship Id="rId10" Type="http://schemas.openxmlformats.org/officeDocument/2006/relationships/image" Target="media/image3.gif"/><Relationship Id="rId19" Type="http://schemas.openxmlformats.org/officeDocument/2006/relationships/image" Target="http://img.rg.ru/pril/81/66/68/6133_8.gif" TargetMode="External"/><Relationship Id="rId31" Type="http://schemas.openxmlformats.org/officeDocument/2006/relationships/image" Target="http://www.rg.ru/pril/81/66/68/6133_14.gif" TargetMode="External"/><Relationship Id="rId44" Type="http://schemas.openxmlformats.org/officeDocument/2006/relationships/image" Target="media/image20.gif"/><Relationship Id="rId4" Type="http://schemas.openxmlformats.org/officeDocument/2006/relationships/hyperlink" Target="http://www.rg.ru/2013/07/19/sanpin-dok.html" TargetMode="External"/><Relationship Id="rId9" Type="http://schemas.openxmlformats.org/officeDocument/2006/relationships/image" Target="http://img.rg.ru/pril/81/66/68/6133_3.gif" TargetMode="External"/><Relationship Id="rId14" Type="http://schemas.openxmlformats.org/officeDocument/2006/relationships/image" Target="media/image5.gif"/><Relationship Id="rId22" Type="http://schemas.openxmlformats.org/officeDocument/2006/relationships/image" Target="media/image9.gif"/><Relationship Id="rId27" Type="http://schemas.openxmlformats.org/officeDocument/2006/relationships/image" Target="http://www.rg.ru/pril/81/66/68/6133_12.gif" TargetMode="External"/><Relationship Id="rId30" Type="http://schemas.openxmlformats.org/officeDocument/2006/relationships/image" Target="media/image13.gif"/><Relationship Id="rId35" Type="http://schemas.openxmlformats.org/officeDocument/2006/relationships/image" Target="http://img.rg.ru/pril/81/66/68/6133_16.gif" TargetMode="External"/><Relationship Id="rId43" Type="http://schemas.openxmlformats.org/officeDocument/2006/relationships/image" Target="http://img.rg.ru/pril/81/66/68/6133_20.gif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17765</Words>
  <Characters>101264</Characters>
  <Application>Microsoft Office Word</Application>
  <DocSecurity>0</DocSecurity>
  <Lines>843</Lines>
  <Paragraphs>237</Paragraphs>
  <ScaleCrop>false</ScaleCrop>
  <Company/>
  <LinksUpToDate>false</LinksUpToDate>
  <CharactersWithSpaces>118792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2014-10-24T06:03:00Z</dcterms:created>
  <dcterms:modified xsi:type="dcterms:W3CDTF">2014-10-24T06:03:00Z</dcterms:modified>
</cp:coreProperties>
</file>