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20E" w:rsidRDefault="0098120E" w:rsidP="0098120E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</w:p>
    <w:p w:rsidR="0098120E" w:rsidRPr="0098120E" w:rsidRDefault="0098120E" w:rsidP="0098120E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color w:val="141414"/>
          <w:sz w:val="48"/>
          <w:szCs w:val="48"/>
          <w:lang w:eastAsia="ru-RU"/>
        </w:rPr>
      </w:pPr>
      <w:r w:rsidRPr="0098120E">
        <w:rPr>
          <w:rFonts w:ascii="Times New Roman" w:eastAsia="Times New Roman" w:hAnsi="Times New Roman" w:cs="Times New Roman"/>
          <w:color w:val="141414"/>
          <w:sz w:val="48"/>
          <w:szCs w:val="48"/>
          <w:lang w:eastAsia="ru-RU"/>
        </w:rPr>
        <w:t>АБИСИЛ! Материалы и выводы.</w:t>
      </w:r>
      <w:bookmarkStart w:id="0" w:name="_GoBack"/>
      <w:bookmarkEnd w:id="0"/>
    </w:p>
    <w:p w:rsidR="0098120E" w:rsidRPr="0098120E" w:rsidRDefault="0098120E" w:rsidP="0098120E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98120E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Острые респираторные вирусные инфекции (ОРВИ) – самая распространенная инфекционная патология детей и взрослых. В России ежегодно регистрируется от 27 до 41 млн. случаев заболевания гриппом и ОРВИ. Известно, что особенно часто ОРВИ болеют дети дошкольного возраста, посещающие детские дошкольные учреждения. К сегодняшнему дню разработана специфическая профилактика гриппа – ежегодная вакцинация лиц из групп риска. Но проводимая вакцинация не оказывает существенного влияния на эпидемический процесс, в первую очередь из-за невозможности иммунизации большого числа людей. Известно, что для формирования коллективного иммунитета необходим охват не менее 80% населения [ ]. Проведение в период эпидемического подъема респираторных вирусных инфекций их профилактики препаратами типа римантадина, арбидола в педиатрической практике ограничено их возможной токсичностью, возможностями побочных эффектов и возросшей в последнее время устойчивости к ним вирусов. Проведение такой профилактики в организованных детских коллективах ограничено высокими материальными затратами. Часто в дошкольных образовательных учреждениях с этой целью используются оксолиновая мазь, поливитамины и фитосредства (чеснок и т.п.), эффективность которых сравнительно невелика. В связи с этим перспективным является поиск новых эффективных и безопасных препаратов для профилактики гриппа и ОРВИ. Одним из таких средств, по нашему мнению, может стать препарат «Абисил» (20% масляный раствор для местного и наружного применения, содержащий </w:t>
      </w:r>
      <w:hyperlink r:id="rId6" w:history="1">
        <w:r w:rsidRPr="0098120E">
          <w:rPr>
            <w:rFonts w:ascii="Times New Roman" w:eastAsia="Times New Roman" w:hAnsi="Times New Roman" w:cs="Times New Roman"/>
            <w:color w:val="6ABBCE"/>
            <w:sz w:val="24"/>
            <w:szCs w:val="24"/>
            <w:u w:val="single"/>
            <w:lang w:eastAsia="ru-RU"/>
          </w:rPr>
          <w:t>терпены пихты сибирской</w:t>
        </w:r>
      </w:hyperlink>
      <w:r w:rsidRPr="0098120E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 и борнилацетат). Методика профилактического применения его очень проста: ежедневная одно-двухразовая обработка препаратом слизистой носовых ходов с использованием ватных тампонов. Использовать препарат с этой целью можно 2 месяца и более. Единственным противопоказанием является индивидуальная непереносимость. Из побочных явлений отмечено только кратковременное жжение в месте нанесения препарата.</w:t>
      </w:r>
    </w:p>
    <w:p w:rsidR="0098120E" w:rsidRPr="0098120E" w:rsidRDefault="0098120E" w:rsidP="0098120E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98120E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Цель настоящего исследования – оценка профилактической эффективности и безопасности препарата «Абисил» у детей, посещающих детские дошкольные учреждения. С этой целью нами был проведен сравнительный анализ случаев заболевания гриппом и ОРВИ организованных детей, получавших «Абисил» в период эпидемии гриппа в различных возрастных группах.</w:t>
      </w:r>
    </w:p>
    <w:p w:rsidR="0098120E" w:rsidRPr="0098120E" w:rsidRDefault="0098120E" w:rsidP="0098120E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98120E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Материал и методы</w:t>
      </w:r>
    </w:p>
    <w:p w:rsidR="0098120E" w:rsidRPr="0098120E" w:rsidRDefault="0098120E" w:rsidP="0098120E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98120E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Под наблюдением находилось 110 детей в возрасте от 3 до 7 лет. Дети были разделены на 2 группы – основную и контрольную. Основную группу составили 55 детей, посещающих младшую (16), среднюю (17) и старшую (22) группы детского сада, родители которых дали добровольное согласие на применение препарата после получения информации о лекарственном действии, способе использования и возможных побочных эффектах. В этой группе у 21 ребенка диагностированы хронические заболевания: функциональная кардиопатия (6), дисметаболическая нефропатия (3), хронический пиелонефрит (3), ДЖВП (9). К группе часто болеющих детей (ЧБД) с хроническими заболеваниями ЛОР-органов относились 7 детей. Детям данной группы вводился препарат «Абисил» в оба носовых хода ватной палочкой 2 раза в день в течение 1 месяца (18.02.13- 18.03.13).</w:t>
      </w:r>
    </w:p>
    <w:p w:rsidR="0098120E" w:rsidRPr="0098120E" w:rsidRDefault="0098120E" w:rsidP="0098120E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98120E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В контрольную группу были включены 65 детей сходного возраста, посещающие младшую (23), среднюю (24) и старшую (18) группы детского сада. У 11 детей этой группы отмечались хронические заболевания: ФКП (5), дисметаболическая нефропатия (3), ДЖВП(3). К ЧБД относились 3 детей. В данной группе дети получали оксолиновую мазь интраназально и принимали поливитамины «Ревит».</w:t>
      </w:r>
    </w:p>
    <w:p w:rsidR="0098120E" w:rsidRPr="0098120E" w:rsidRDefault="0098120E" w:rsidP="0098120E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98120E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Результаты и обсуждение</w:t>
      </w:r>
    </w:p>
    <w:p w:rsidR="0098120E" w:rsidRPr="0098120E" w:rsidRDefault="0098120E" w:rsidP="0098120E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98120E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 xml:space="preserve">В основной группе на фоне применения препарата «Абисил» в течение месяца заболели ОРВИ 3 детей (5,5%). В контрольной группе за этот период ОРВИ переболело 13 человек (20,0%). Средняя </w:t>
      </w:r>
      <w:r w:rsidRPr="0098120E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lastRenderedPageBreak/>
        <w:t>продолжительность заболевания составила соответственно 9,66 дня и 9,76 дня. Использование препарата уменьшило число случаев заболевания ОРВИ у детей на 14,5%, но не повлияло на продолжительность заболевания.</w:t>
      </w:r>
    </w:p>
    <w:p w:rsidR="0098120E" w:rsidRPr="0098120E" w:rsidRDefault="0098120E" w:rsidP="0098120E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98120E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В основной группе у 2 детей (66,7%) заболевание протекало в легкой форме, лечение их проводилось в амбулаторных условиях без применения антибиотиков. У 1 ребенка (33,3%) развилась среднетяжелая форма ОРВИ, которая осложнилась внебольничной правосторонней бронхопневмонией. Лечение этого ребенка проводилось в условиях стационара, с применением антибиотика. Неэффективность профилактического действия препарата в данном случае может быть обусловлена, тем, что ребенок получал «Абисил» только в течение 8 дней и имел неблагоприятный преморбидный фон (острый пиелонефрит с затяжным течением).</w:t>
      </w:r>
    </w:p>
    <w:p w:rsidR="0098120E" w:rsidRPr="0098120E" w:rsidRDefault="0098120E" w:rsidP="0098120E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98120E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В контрольной группе 9 детей (69,2%) перенесли ОРВИ в легкой форме, 4 ребенка (30,8%) – в среднетяжелой форме. У 1 ребенка (7,7%) среднетяжелое течение ОРВИ осложнилось острым бронхитом, что потребовало госпитализации и применения антибиотика.</w:t>
      </w:r>
    </w:p>
    <w:p w:rsidR="0098120E" w:rsidRPr="0098120E" w:rsidRDefault="0098120E" w:rsidP="0098120E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98120E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Анализ заболеваемости в различных возрастных группах представлен в таблице №1.</w:t>
      </w:r>
    </w:p>
    <w:p w:rsidR="0098120E" w:rsidRPr="0098120E" w:rsidRDefault="0098120E" w:rsidP="0098120E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98120E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Профилактическое применение препарата «Абисил» привело к снижению количества заболевших детей в младшей группе на 17,9%, в средней — на 12,5%, в старшей – на 12,2%.</w:t>
      </w:r>
    </w:p>
    <w:p w:rsidR="0098120E" w:rsidRPr="0098120E" w:rsidRDefault="0098120E" w:rsidP="0098120E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98120E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Таблица 1</w:t>
      </w:r>
    </w:p>
    <w:p w:rsidR="0098120E" w:rsidRPr="0098120E" w:rsidRDefault="0098120E" w:rsidP="0098120E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98120E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Количество случаев заболевания ОРВИ у детей различного возраста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24"/>
        <w:gridCol w:w="1285"/>
        <w:gridCol w:w="1088"/>
        <w:gridCol w:w="990"/>
        <w:gridCol w:w="1283"/>
        <w:gridCol w:w="1088"/>
        <w:gridCol w:w="989"/>
      </w:tblGrid>
      <w:tr w:rsidR="0098120E" w:rsidRPr="0098120E" w:rsidTr="0098120E">
        <w:trPr>
          <w:tblCellSpacing w:w="0" w:type="dxa"/>
        </w:trPr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:rsidR="0098120E" w:rsidRPr="0098120E" w:rsidRDefault="0098120E" w:rsidP="0098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41414"/>
                <w:sz w:val="24"/>
                <w:szCs w:val="24"/>
                <w:lang w:eastAsia="ru-RU"/>
              </w:rPr>
            </w:pPr>
            <w:r w:rsidRPr="0098120E">
              <w:rPr>
                <w:rFonts w:ascii="Times New Roman" w:eastAsia="Times New Roman" w:hAnsi="Times New Roman" w:cs="Times New Roman"/>
                <w:color w:val="141414"/>
                <w:sz w:val="24"/>
                <w:szCs w:val="24"/>
                <w:lang w:eastAsia="ru-RU"/>
              </w:rPr>
              <w:t>Группы детского сада</w:t>
            </w:r>
          </w:p>
        </w:tc>
        <w:tc>
          <w:tcPr>
            <w:tcW w:w="0" w:type="auto"/>
            <w:gridSpan w:val="3"/>
            <w:shd w:val="clear" w:color="auto" w:fill="FFFFFF"/>
            <w:vAlign w:val="center"/>
            <w:hideMark/>
          </w:tcPr>
          <w:p w:rsidR="0098120E" w:rsidRPr="0098120E" w:rsidRDefault="0098120E" w:rsidP="0098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41414"/>
                <w:sz w:val="24"/>
                <w:szCs w:val="24"/>
                <w:lang w:eastAsia="ru-RU"/>
              </w:rPr>
            </w:pPr>
            <w:r w:rsidRPr="0098120E">
              <w:rPr>
                <w:rFonts w:ascii="Times New Roman" w:eastAsia="Times New Roman" w:hAnsi="Times New Roman" w:cs="Times New Roman"/>
                <w:color w:val="141414"/>
                <w:sz w:val="24"/>
                <w:szCs w:val="24"/>
                <w:lang w:eastAsia="ru-RU"/>
              </w:rPr>
              <w:t>Исследуемая группа</w:t>
            </w:r>
          </w:p>
        </w:tc>
        <w:tc>
          <w:tcPr>
            <w:tcW w:w="0" w:type="auto"/>
            <w:gridSpan w:val="3"/>
            <w:shd w:val="clear" w:color="auto" w:fill="FFFFFF"/>
            <w:vAlign w:val="center"/>
            <w:hideMark/>
          </w:tcPr>
          <w:p w:rsidR="0098120E" w:rsidRPr="0098120E" w:rsidRDefault="0098120E" w:rsidP="0098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41414"/>
                <w:sz w:val="24"/>
                <w:szCs w:val="24"/>
                <w:lang w:eastAsia="ru-RU"/>
              </w:rPr>
            </w:pPr>
            <w:r w:rsidRPr="0098120E">
              <w:rPr>
                <w:rFonts w:ascii="Times New Roman" w:eastAsia="Times New Roman" w:hAnsi="Times New Roman" w:cs="Times New Roman"/>
                <w:color w:val="141414"/>
                <w:sz w:val="24"/>
                <w:szCs w:val="24"/>
                <w:lang w:eastAsia="ru-RU"/>
              </w:rPr>
              <w:t>Контрольная группа</w:t>
            </w:r>
          </w:p>
        </w:tc>
      </w:tr>
      <w:tr w:rsidR="0098120E" w:rsidRPr="0098120E" w:rsidTr="0098120E">
        <w:trPr>
          <w:tblCellSpacing w:w="0" w:type="dxa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98120E" w:rsidRPr="0098120E" w:rsidRDefault="0098120E" w:rsidP="0098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41414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:rsidR="0098120E" w:rsidRPr="0098120E" w:rsidRDefault="0098120E" w:rsidP="0098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41414"/>
                <w:sz w:val="24"/>
                <w:szCs w:val="24"/>
                <w:lang w:eastAsia="ru-RU"/>
              </w:rPr>
            </w:pPr>
            <w:r w:rsidRPr="0098120E">
              <w:rPr>
                <w:rFonts w:ascii="Times New Roman" w:eastAsia="Times New Roman" w:hAnsi="Times New Roman" w:cs="Times New Roman"/>
                <w:color w:val="141414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98120E" w:rsidRPr="0098120E" w:rsidRDefault="0098120E" w:rsidP="0098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41414"/>
                <w:sz w:val="24"/>
                <w:szCs w:val="24"/>
                <w:lang w:eastAsia="ru-RU"/>
              </w:rPr>
            </w:pPr>
            <w:r w:rsidRPr="0098120E">
              <w:rPr>
                <w:rFonts w:ascii="Times New Roman" w:eastAsia="Times New Roman" w:hAnsi="Times New Roman" w:cs="Times New Roman"/>
                <w:color w:val="141414"/>
                <w:sz w:val="24"/>
                <w:szCs w:val="24"/>
                <w:lang w:eastAsia="ru-RU"/>
              </w:rPr>
              <w:t>ОРВИ</w:t>
            </w:r>
          </w:p>
        </w:tc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:rsidR="0098120E" w:rsidRPr="0098120E" w:rsidRDefault="0098120E" w:rsidP="0098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41414"/>
                <w:sz w:val="24"/>
                <w:szCs w:val="24"/>
                <w:lang w:eastAsia="ru-RU"/>
              </w:rPr>
            </w:pPr>
            <w:r w:rsidRPr="0098120E">
              <w:rPr>
                <w:rFonts w:ascii="Times New Roman" w:eastAsia="Times New Roman" w:hAnsi="Times New Roman" w:cs="Times New Roman"/>
                <w:color w:val="141414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98120E" w:rsidRPr="0098120E" w:rsidRDefault="0098120E" w:rsidP="0098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41414"/>
                <w:sz w:val="24"/>
                <w:szCs w:val="24"/>
                <w:lang w:eastAsia="ru-RU"/>
              </w:rPr>
            </w:pPr>
            <w:r w:rsidRPr="0098120E">
              <w:rPr>
                <w:rFonts w:ascii="Times New Roman" w:eastAsia="Times New Roman" w:hAnsi="Times New Roman" w:cs="Times New Roman"/>
                <w:color w:val="141414"/>
                <w:sz w:val="24"/>
                <w:szCs w:val="24"/>
                <w:lang w:eastAsia="ru-RU"/>
              </w:rPr>
              <w:t>ОРВИ</w:t>
            </w:r>
          </w:p>
        </w:tc>
      </w:tr>
      <w:tr w:rsidR="0098120E" w:rsidRPr="0098120E" w:rsidTr="0098120E">
        <w:trPr>
          <w:tblCellSpacing w:w="0" w:type="dxa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98120E" w:rsidRPr="0098120E" w:rsidRDefault="0098120E" w:rsidP="0098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41414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98120E" w:rsidRPr="0098120E" w:rsidRDefault="0098120E" w:rsidP="0098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41414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8120E" w:rsidRPr="0098120E" w:rsidRDefault="0098120E" w:rsidP="0098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41414"/>
                <w:sz w:val="24"/>
                <w:szCs w:val="24"/>
                <w:lang w:eastAsia="ru-RU"/>
              </w:rPr>
            </w:pPr>
            <w:r w:rsidRPr="0098120E">
              <w:rPr>
                <w:rFonts w:ascii="Times New Roman" w:eastAsia="Times New Roman" w:hAnsi="Times New Roman" w:cs="Times New Roman"/>
                <w:color w:val="141414"/>
                <w:sz w:val="24"/>
                <w:szCs w:val="24"/>
                <w:lang w:eastAsia="ru-RU"/>
              </w:rPr>
              <w:t>Абс.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8120E" w:rsidRPr="0098120E" w:rsidRDefault="0098120E" w:rsidP="0098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41414"/>
                <w:sz w:val="24"/>
                <w:szCs w:val="24"/>
                <w:lang w:eastAsia="ru-RU"/>
              </w:rPr>
            </w:pPr>
            <w:r w:rsidRPr="0098120E">
              <w:rPr>
                <w:rFonts w:ascii="Times New Roman" w:eastAsia="Times New Roman" w:hAnsi="Times New Roman" w:cs="Times New Roman"/>
                <w:color w:val="141414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98120E" w:rsidRPr="0098120E" w:rsidRDefault="0098120E" w:rsidP="0098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41414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8120E" w:rsidRPr="0098120E" w:rsidRDefault="0098120E" w:rsidP="0098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41414"/>
                <w:sz w:val="24"/>
                <w:szCs w:val="24"/>
                <w:lang w:eastAsia="ru-RU"/>
              </w:rPr>
            </w:pPr>
            <w:r w:rsidRPr="0098120E">
              <w:rPr>
                <w:rFonts w:ascii="Times New Roman" w:eastAsia="Times New Roman" w:hAnsi="Times New Roman" w:cs="Times New Roman"/>
                <w:color w:val="141414"/>
                <w:sz w:val="24"/>
                <w:szCs w:val="24"/>
                <w:lang w:eastAsia="ru-RU"/>
              </w:rPr>
              <w:t>Абс.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8120E" w:rsidRPr="0098120E" w:rsidRDefault="0098120E" w:rsidP="0098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41414"/>
                <w:sz w:val="24"/>
                <w:szCs w:val="24"/>
                <w:lang w:eastAsia="ru-RU"/>
              </w:rPr>
            </w:pPr>
            <w:r w:rsidRPr="0098120E">
              <w:rPr>
                <w:rFonts w:ascii="Times New Roman" w:eastAsia="Times New Roman" w:hAnsi="Times New Roman" w:cs="Times New Roman"/>
                <w:color w:val="141414"/>
                <w:sz w:val="24"/>
                <w:szCs w:val="24"/>
                <w:lang w:eastAsia="ru-RU"/>
              </w:rPr>
              <w:t>%</w:t>
            </w:r>
          </w:p>
        </w:tc>
      </w:tr>
      <w:tr w:rsidR="0098120E" w:rsidRPr="0098120E" w:rsidTr="0098120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98120E" w:rsidRPr="0098120E" w:rsidRDefault="0098120E" w:rsidP="0098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41414"/>
                <w:sz w:val="24"/>
                <w:szCs w:val="24"/>
                <w:lang w:eastAsia="ru-RU"/>
              </w:rPr>
            </w:pPr>
            <w:r w:rsidRPr="0098120E">
              <w:rPr>
                <w:rFonts w:ascii="Times New Roman" w:eastAsia="Times New Roman" w:hAnsi="Times New Roman" w:cs="Times New Roman"/>
                <w:color w:val="141414"/>
                <w:sz w:val="24"/>
                <w:szCs w:val="24"/>
                <w:lang w:eastAsia="ru-RU"/>
              </w:rPr>
              <w:t>Младшая (3-4 лет)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8120E" w:rsidRPr="0098120E" w:rsidRDefault="0098120E" w:rsidP="0098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41414"/>
                <w:sz w:val="24"/>
                <w:szCs w:val="24"/>
                <w:lang w:eastAsia="ru-RU"/>
              </w:rPr>
            </w:pPr>
            <w:r w:rsidRPr="0098120E">
              <w:rPr>
                <w:rFonts w:ascii="Times New Roman" w:eastAsia="Times New Roman" w:hAnsi="Times New Roman" w:cs="Times New Roman"/>
                <w:color w:val="141414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8120E" w:rsidRPr="0098120E" w:rsidRDefault="0098120E" w:rsidP="0098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41414"/>
                <w:sz w:val="24"/>
                <w:szCs w:val="24"/>
                <w:lang w:eastAsia="ru-RU"/>
              </w:rPr>
            </w:pPr>
            <w:r w:rsidRPr="0098120E">
              <w:rPr>
                <w:rFonts w:ascii="Times New Roman" w:eastAsia="Times New Roman" w:hAnsi="Times New Roman" w:cs="Times New Roman"/>
                <w:color w:val="14141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8120E" w:rsidRPr="0098120E" w:rsidRDefault="0098120E" w:rsidP="0098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41414"/>
                <w:sz w:val="24"/>
                <w:szCs w:val="24"/>
                <w:lang w:eastAsia="ru-RU"/>
              </w:rPr>
            </w:pPr>
            <w:r w:rsidRPr="0098120E">
              <w:rPr>
                <w:rFonts w:ascii="Times New Roman" w:eastAsia="Times New Roman" w:hAnsi="Times New Roman" w:cs="Times New Roman"/>
                <w:color w:val="141414"/>
                <w:sz w:val="24"/>
                <w:szCs w:val="24"/>
                <w:lang w:eastAsia="ru-RU"/>
              </w:rPr>
              <w:t>12,5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8120E" w:rsidRPr="0098120E" w:rsidRDefault="0098120E" w:rsidP="0098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41414"/>
                <w:sz w:val="24"/>
                <w:szCs w:val="24"/>
                <w:lang w:eastAsia="ru-RU"/>
              </w:rPr>
            </w:pPr>
            <w:r w:rsidRPr="0098120E">
              <w:rPr>
                <w:rFonts w:ascii="Times New Roman" w:eastAsia="Times New Roman" w:hAnsi="Times New Roman" w:cs="Times New Roman"/>
                <w:color w:val="141414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8120E" w:rsidRPr="0098120E" w:rsidRDefault="0098120E" w:rsidP="0098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41414"/>
                <w:sz w:val="24"/>
                <w:szCs w:val="24"/>
                <w:lang w:eastAsia="ru-RU"/>
              </w:rPr>
            </w:pPr>
            <w:r w:rsidRPr="0098120E">
              <w:rPr>
                <w:rFonts w:ascii="Times New Roman" w:eastAsia="Times New Roman" w:hAnsi="Times New Roman" w:cs="Times New Roman"/>
                <w:color w:val="141414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8120E" w:rsidRPr="0098120E" w:rsidRDefault="0098120E" w:rsidP="0098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41414"/>
                <w:sz w:val="24"/>
                <w:szCs w:val="24"/>
                <w:lang w:eastAsia="ru-RU"/>
              </w:rPr>
            </w:pPr>
            <w:r w:rsidRPr="0098120E">
              <w:rPr>
                <w:rFonts w:ascii="Times New Roman" w:eastAsia="Times New Roman" w:hAnsi="Times New Roman" w:cs="Times New Roman"/>
                <w:color w:val="141414"/>
                <w:sz w:val="24"/>
                <w:szCs w:val="24"/>
                <w:lang w:eastAsia="ru-RU"/>
              </w:rPr>
              <w:t>30,4</w:t>
            </w:r>
          </w:p>
        </w:tc>
      </w:tr>
      <w:tr w:rsidR="0098120E" w:rsidRPr="0098120E" w:rsidTr="0098120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98120E" w:rsidRPr="0098120E" w:rsidRDefault="0098120E" w:rsidP="0098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41414"/>
                <w:sz w:val="24"/>
                <w:szCs w:val="24"/>
                <w:lang w:eastAsia="ru-RU"/>
              </w:rPr>
            </w:pPr>
            <w:r w:rsidRPr="0098120E">
              <w:rPr>
                <w:rFonts w:ascii="Times New Roman" w:eastAsia="Times New Roman" w:hAnsi="Times New Roman" w:cs="Times New Roman"/>
                <w:color w:val="141414"/>
                <w:sz w:val="24"/>
                <w:szCs w:val="24"/>
                <w:lang w:eastAsia="ru-RU"/>
              </w:rPr>
              <w:t>Средняя (4-5 лет)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8120E" w:rsidRPr="0098120E" w:rsidRDefault="0098120E" w:rsidP="0098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41414"/>
                <w:sz w:val="24"/>
                <w:szCs w:val="24"/>
                <w:lang w:eastAsia="ru-RU"/>
              </w:rPr>
            </w:pPr>
            <w:r w:rsidRPr="0098120E">
              <w:rPr>
                <w:rFonts w:ascii="Times New Roman" w:eastAsia="Times New Roman" w:hAnsi="Times New Roman" w:cs="Times New Roman"/>
                <w:color w:val="141414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8120E" w:rsidRPr="0098120E" w:rsidRDefault="0098120E" w:rsidP="0098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41414"/>
                <w:sz w:val="24"/>
                <w:szCs w:val="24"/>
                <w:lang w:eastAsia="ru-RU"/>
              </w:rPr>
            </w:pPr>
            <w:r w:rsidRPr="0098120E">
              <w:rPr>
                <w:rFonts w:ascii="Times New Roman" w:eastAsia="Times New Roman" w:hAnsi="Times New Roman" w:cs="Times New Roman"/>
                <w:color w:val="141414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8120E" w:rsidRPr="0098120E" w:rsidRDefault="0098120E" w:rsidP="0098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41414"/>
                <w:sz w:val="24"/>
                <w:szCs w:val="24"/>
                <w:lang w:eastAsia="ru-RU"/>
              </w:rPr>
            </w:pPr>
            <w:r w:rsidRPr="0098120E">
              <w:rPr>
                <w:rFonts w:ascii="Times New Roman" w:eastAsia="Times New Roman" w:hAnsi="Times New Roman" w:cs="Times New Roman"/>
                <w:color w:val="141414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8120E" w:rsidRPr="0098120E" w:rsidRDefault="0098120E" w:rsidP="0098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41414"/>
                <w:sz w:val="24"/>
                <w:szCs w:val="24"/>
                <w:lang w:eastAsia="ru-RU"/>
              </w:rPr>
            </w:pPr>
            <w:r w:rsidRPr="0098120E">
              <w:rPr>
                <w:rFonts w:ascii="Times New Roman" w:eastAsia="Times New Roman" w:hAnsi="Times New Roman" w:cs="Times New Roman"/>
                <w:color w:val="141414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8120E" w:rsidRPr="0098120E" w:rsidRDefault="0098120E" w:rsidP="0098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41414"/>
                <w:sz w:val="24"/>
                <w:szCs w:val="24"/>
                <w:lang w:eastAsia="ru-RU"/>
              </w:rPr>
            </w:pPr>
            <w:r w:rsidRPr="0098120E">
              <w:rPr>
                <w:rFonts w:ascii="Times New Roman" w:eastAsia="Times New Roman" w:hAnsi="Times New Roman" w:cs="Times New Roman"/>
                <w:color w:val="14141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8120E" w:rsidRPr="0098120E" w:rsidRDefault="0098120E" w:rsidP="0098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41414"/>
                <w:sz w:val="24"/>
                <w:szCs w:val="24"/>
                <w:lang w:eastAsia="ru-RU"/>
              </w:rPr>
            </w:pPr>
            <w:r w:rsidRPr="0098120E">
              <w:rPr>
                <w:rFonts w:ascii="Times New Roman" w:eastAsia="Times New Roman" w:hAnsi="Times New Roman" w:cs="Times New Roman"/>
                <w:color w:val="141414"/>
                <w:sz w:val="24"/>
                <w:szCs w:val="24"/>
                <w:lang w:eastAsia="ru-RU"/>
              </w:rPr>
              <w:t>12,5</w:t>
            </w:r>
          </w:p>
        </w:tc>
      </w:tr>
      <w:tr w:rsidR="0098120E" w:rsidRPr="0098120E" w:rsidTr="0098120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98120E" w:rsidRPr="0098120E" w:rsidRDefault="0098120E" w:rsidP="0098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41414"/>
                <w:sz w:val="24"/>
                <w:szCs w:val="24"/>
                <w:lang w:eastAsia="ru-RU"/>
              </w:rPr>
            </w:pPr>
            <w:r w:rsidRPr="0098120E">
              <w:rPr>
                <w:rFonts w:ascii="Times New Roman" w:eastAsia="Times New Roman" w:hAnsi="Times New Roman" w:cs="Times New Roman"/>
                <w:color w:val="141414"/>
                <w:sz w:val="24"/>
                <w:szCs w:val="24"/>
                <w:lang w:eastAsia="ru-RU"/>
              </w:rPr>
              <w:t>Старшая (5-6 лет)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8120E" w:rsidRPr="0098120E" w:rsidRDefault="0098120E" w:rsidP="0098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41414"/>
                <w:sz w:val="24"/>
                <w:szCs w:val="24"/>
                <w:lang w:eastAsia="ru-RU"/>
              </w:rPr>
            </w:pPr>
            <w:r w:rsidRPr="0098120E">
              <w:rPr>
                <w:rFonts w:ascii="Times New Roman" w:eastAsia="Times New Roman" w:hAnsi="Times New Roman" w:cs="Times New Roman"/>
                <w:color w:val="141414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8120E" w:rsidRPr="0098120E" w:rsidRDefault="0098120E" w:rsidP="0098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41414"/>
                <w:sz w:val="24"/>
                <w:szCs w:val="24"/>
                <w:lang w:eastAsia="ru-RU"/>
              </w:rPr>
            </w:pPr>
            <w:r w:rsidRPr="0098120E">
              <w:rPr>
                <w:rFonts w:ascii="Times New Roman" w:eastAsia="Times New Roman" w:hAnsi="Times New Roman" w:cs="Times New Roman"/>
                <w:color w:val="14141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8120E" w:rsidRPr="0098120E" w:rsidRDefault="0098120E" w:rsidP="0098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41414"/>
                <w:sz w:val="24"/>
                <w:szCs w:val="24"/>
                <w:lang w:eastAsia="ru-RU"/>
              </w:rPr>
            </w:pPr>
            <w:r w:rsidRPr="0098120E">
              <w:rPr>
                <w:rFonts w:ascii="Times New Roman" w:eastAsia="Times New Roman" w:hAnsi="Times New Roman" w:cs="Times New Roman"/>
                <w:color w:val="141414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8120E" w:rsidRPr="0098120E" w:rsidRDefault="0098120E" w:rsidP="0098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41414"/>
                <w:sz w:val="24"/>
                <w:szCs w:val="24"/>
                <w:lang w:eastAsia="ru-RU"/>
              </w:rPr>
            </w:pPr>
            <w:r w:rsidRPr="0098120E">
              <w:rPr>
                <w:rFonts w:ascii="Times New Roman" w:eastAsia="Times New Roman" w:hAnsi="Times New Roman" w:cs="Times New Roman"/>
                <w:color w:val="141414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8120E" w:rsidRPr="0098120E" w:rsidRDefault="0098120E" w:rsidP="0098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41414"/>
                <w:sz w:val="24"/>
                <w:szCs w:val="24"/>
                <w:lang w:eastAsia="ru-RU"/>
              </w:rPr>
            </w:pPr>
            <w:r w:rsidRPr="0098120E">
              <w:rPr>
                <w:rFonts w:ascii="Times New Roman" w:eastAsia="Times New Roman" w:hAnsi="Times New Roman" w:cs="Times New Roman"/>
                <w:color w:val="14141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8120E" w:rsidRPr="0098120E" w:rsidRDefault="0098120E" w:rsidP="0098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41414"/>
                <w:sz w:val="24"/>
                <w:szCs w:val="24"/>
                <w:lang w:eastAsia="ru-RU"/>
              </w:rPr>
            </w:pPr>
            <w:r w:rsidRPr="0098120E">
              <w:rPr>
                <w:rFonts w:ascii="Times New Roman" w:eastAsia="Times New Roman" w:hAnsi="Times New Roman" w:cs="Times New Roman"/>
                <w:color w:val="141414"/>
                <w:sz w:val="24"/>
                <w:szCs w:val="24"/>
                <w:lang w:eastAsia="ru-RU"/>
              </w:rPr>
              <w:t>16,7</w:t>
            </w:r>
          </w:p>
        </w:tc>
      </w:tr>
    </w:tbl>
    <w:p w:rsidR="0098120E" w:rsidRPr="0098120E" w:rsidRDefault="0098120E" w:rsidP="0098120E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98120E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Исследование заболеваемости по степеням тяжести заболевания и наличию осложнений в различных возрастных группах не выявило значимых изменений.</w:t>
      </w:r>
    </w:p>
    <w:p w:rsidR="0098120E" w:rsidRPr="0098120E" w:rsidRDefault="0098120E" w:rsidP="0098120E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98120E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Анализ количества заболевших в группе детей с хроническими заболеваниями (таблица 2) показал, что в основной группе среди таких детей ОРВИ наблюдалось у 1 ребенка (4,8%), тогда как в контрольной группе – у 4 детей (36,4%).</w:t>
      </w:r>
    </w:p>
    <w:p w:rsidR="0098120E" w:rsidRPr="0098120E" w:rsidRDefault="0098120E" w:rsidP="0098120E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98120E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Таблица 2</w:t>
      </w:r>
    </w:p>
    <w:p w:rsidR="0098120E" w:rsidRPr="0098120E" w:rsidRDefault="0098120E" w:rsidP="0098120E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98120E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Количество больных ОРВИ среди детей с хронической патологией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64"/>
        <w:gridCol w:w="1093"/>
        <w:gridCol w:w="4614"/>
        <w:gridCol w:w="776"/>
      </w:tblGrid>
      <w:tr w:rsidR="0098120E" w:rsidRPr="0098120E" w:rsidTr="0098120E">
        <w:trPr>
          <w:tblCellSpacing w:w="0" w:type="dxa"/>
        </w:trPr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:rsidR="0098120E" w:rsidRPr="0098120E" w:rsidRDefault="0098120E" w:rsidP="0098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41414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:rsidR="0098120E" w:rsidRPr="0098120E" w:rsidRDefault="0098120E" w:rsidP="0098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41414"/>
                <w:sz w:val="24"/>
                <w:szCs w:val="24"/>
                <w:lang w:eastAsia="ru-RU"/>
              </w:rPr>
            </w:pPr>
            <w:r w:rsidRPr="0098120E">
              <w:rPr>
                <w:rFonts w:ascii="Times New Roman" w:eastAsia="Times New Roman" w:hAnsi="Times New Roman" w:cs="Times New Roman"/>
                <w:color w:val="141414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98120E" w:rsidRPr="0098120E" w:rsidRDefault="0098120E" w:rsidP="0098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41414"/>
                <w:sz w:val="24"/>
                <w:szCs w:val="24"/>
                <w:lang w:eastAsia="ru-RU"/>
              </w:rPr>
            </w:pPr>
            <w:r w:rsidRPr="0098120E">
              <w:rPr>
                <w:rFonts w:ascii="Times New Roman" w:eastAsia="Times New Roman" w:hAnsi="Times New Roman" w:cs="Times New Roman"/>
                <w:color w:val="141414"/>
                <w:sz w:val="24"/>
                <w:szCs w:val="24"/>
                <w:lang w:eastAsia="ru-RU"/>
              </w:rPr>
              <w:t>Дети, заболевшие ОРВИ</w:t>
            </w:r>
          </w:p>
        </w:tc>
      </w:tr>
      <w:tr w:rsidR="0098120E" w:rsidRPr="0098120E" w:rsidTr="0098120E">
        <w:trPr>
          <w:tblCellSpacing w:w="0" w:type="dxa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98120E" w:rsidRPr="0098120E" w:rsidRDefault="0098120E" w:rsidP="0098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41414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98120E" w:rsidRPr="0098120E" w:rsidRDefault="0098120E" w:rsidP="0098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41414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8120E" w:rsidRPr="0098120E" w:rsidRDefault="0098120E" w:rsidP="0098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41414"/>
                <w:sz w:val="24"/>
                <w:szCs w:val="24"/>
                <w:lang w:eastAsia="ru-RU"/>
              </w:rPr>
            </w:pPr>
            <w:r w:rsidRPr="0098120E">
              <w:rPr>
                <w:rFonts w:ascii="Times New Roman" w:eastAsia="Times New Roman" w:hAnsi="Times New Roman" w:cs="Times New Roman"/>
                <w:color w:val="141414"/>
                <w:sz w:val="24"/>
                <w:szCs w:val="24"/>
                <w:lang w:eastAsia="ru-RU"/>
              </w:rPr>
              <w:t>Абсолютное количество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8120E" w:rsidRPr="0098120E" w:rsidRDefault="0098120E" w:rsidP="0098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41414"/>
                <w:sz w:val="24"/>
                <w:szCs w:val="24"/>
                <w:lang w:eastAsia="ru-RU"/>
              </w:rPr>
            </w:pPr>
            <w:r w:rsidRPr="0098120E">
              <w:rPr>
                <w:rFonts w:ascii="Times New Roman" w:eastAsia="Times New Roman" w:hAnsi="Times New Roman" w:cs="Times New Roman"/>
                <w:color w:val="141414"/>
                <w:sz w:val="24"/>
                <w:szCs w:val="24"/>
                <w:lang w:eastAsia="ru-RU"/>
              </w:rPr>
              <w:t>%</w:t>
            </w:r>
          </w:p>
        </w:tc>
      </w:tr>
      <w:tr w:rsidR="0098120E" w:rsidRPr="0098120E" w:rsidTr="0098120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98120E" w:rsidRPr="0098120E" w:rsidRDefault="0098120E" w:rsidP="0098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41414"/>
                <w:sz w:val="24"/>
                <w:szCs w:val="24"/>
                <w:lang w:eastAsia="ru-RU"/>
              </w:rPr>
            </w:pPr>
            <w:r w:rsidRPr="0098120E">
              <w:rPr>
                <w:rFonts w:ascii="Times New Roman" w:eastAsia="Times New Roman" w:hAnsi="Times New Roman" w:cs="Times New Roman"/>
                <w:color w:val="141414"/>
                <w:sz w:val="24"/>
                <w:szCs w:val="24"/>
                <w:lang w:eastAsia="ru-RU"/>
              </w:rPr>
              <w:t>Исследуемая группа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8120E" w:rsidRPr="0098120E" w:rsidRDefault="0098120E" w:rsidP="0098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41414"/>
                <w:sz w:val="24"/>
                <w:szCs w:val="24"/>
                <w:lang w:eastAsia="ru-RU"/>
              </w:rPr>
            </w:pPr>
            <w:r w:rsidRPr="0098120E">
              <w:rPr>
                <w:rFonts w:ascii="Times New Roman" w:eastAsia="Times New Roman" w:hAnsi="Times New Roman" w:cs="Times New Roman"/>
                <w:color w:val="141414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8120E" w:rsidRPr="0098120E" w:rsidRDefault="0098120E" w:rsidP="0098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41414"/>
                <w:sz w:val="24"/>
                <w:szCs w:val="24"/>
                <w:lang w:eastAsia="ru-RU"/>
              </w:rPr>
            </w:pPr>
            <w:r w:rsidRPr="0098120E">
              <w:rPr>
                <w:rFonts w:ascii="Times New Roman" w:eastAsia="Times New Roman" w:hAnsi="Times New Roman" w:cs="Times New Roman"/>
                <w:color w:val="14141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8120E" w:rsidRPr="0098120E" w:rsidRDefault="0098120E" w:rsidP="0098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41414"/>
                <w:sz w:val="24"/>
                <w:szCs w:val="24"/>
                <w:lang w:eastAsia="ru-RU"/>
              </w:rPr>
            </w:pPr>
            <w:r w:rsidRPr="0098120E">
              <w:rPr>
                <w:rFonts w:ascii="Times New Roman" w:eastAsia="Times New Roman" w:hAnsi="Times New Roman" w:cs="Times New Roman"/>
                <w:color w:val="141414"/>
                <w:sz w:val="24"/>
                <w:szCs w:val="24"/>
                <w:lang w:eastAsia="ru-RU"/>
              </w:rPr>
              <w:t>4,8</w:t>
            </w:r>
          </w:p>
        </w:tc>
      </w:tr>
      <w:tr w:rsidR="0098120E" w:rsidRPr="0098120E" w:rsidTr="0098120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98120E" w:rsidRPr="0098120E" w:rsidRDefault="0098120E" w:rsidP="0098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41414"/>
                <w:sz w:val="24"/>
                <w:szCs w:val="24"/>
                <w:lang w:eastAsia="ru-RU"/>
              </w:rPr>
            </w:pPr>
            <w:r w:rsidRPr="0098120E">
              <w:rPr>
                <w:rFonts w:ascii="Times New Roman" w:eastAsia="Times New Roman" w:hAnsi="Times New Roman" w:cs="Times New Roman"/>
                <w:color w:val="141414"/>
                <w:sz w:val="24"/>
                <w:szCs w:val="24"/>
                <w:lang w:eastAsia="ru-RU"/>
              </w:rPr>
              <w:t>Контрольная группа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8120E" w:rsidRPr="0098120E" w:rsidRDefault="0098120E" w:rsidP="0098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41414"/>
                <w:sz w:val="24"/>
                <w:szCs w:val="24"/>
                <w:lang w:eastAsia="ru-RU"/>
              </w:rPr>
            </w:pPr>
            <w:r w:rsidRPr="0098120E">
              <w:rPr>
                <w:rFonts w:ascii="Times New Roman" w:eastAsia="Times New Roman" w:hAnsi="Times New Roman" w:cs="Times New Roman"/>
                <w:color w:val="141414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8120E" w:rsidRPr="0098120E" w:rsidRDefault="0098120E" w:rsidP="0098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41414"/>
                <w:sz w:val="24"/>
                <w:szCs w:val="24"/>
                <w:lang w:eastAsia="ru-RU"/>
              </w:rPr>
            </w:pPr>
            <w:r w:rsidRPr="0098120E">
              <w:rPr>
                <w:rFonts w:ascii="Times New Roman" w:eastAsia="Times New Roman" w:hAnsi="Times New Roman" w:cs="Times New Roman"/>
                <w:color w:val="141414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8120E" w:rsidRPr="0098120E" w:rsidRDefault="0098120E" w:rsidP="0098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41414"/>
                <w:sz w:val="24"/>
                <w:szCs w:val="24"/>
                <w:lang w:eastAsia="ru-RU"/>
              </w:rPr>
            </w:pPr>
            <w:r w:rsidRPr="0098120E">
              <w:rPr>
                <w:rFonts w:ascii="Times New Roman" w:eastAsia="Times New Roman" w:hAnsi="Times New Roman" w:cs="Times New Roman"/>
                <w:color w:val="141414"/>
                <w:sz w:val="24"/>
                <w:szCs w:val="24"/>
                <w:lang w:eastAsia="ru-RU"/>
              </w:rPr>
              <w:t>36.4</w:t>
            </w:r>
          </w:p>
        </w:tc>
      </w:tr>
    </w:tbl>
    <w:p w:rsidR="0098120E" w:rsidRPr="0098120E" w:rsidRDefault="0098120E" w:rsidP="0098120E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98120E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В этой группе применение препарата привело к тому, что количество случаев ОРВИ снизилось более чем на треть (на 31,6%).</w:t>
      </w:r>
    </w:p>
    <w:p w:rsidR="0098120E" w:rsidRPr="0098120E" w:rsidRDefault="0098120E" w:rsidP="0098120E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98120E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Местная и общая безопасность препарата «Абисил» расценена нами как хорошая. Ни в одном из случаев применения не было выявлено общих или местных побочных реакций.</w:t>
      </w:r>
    </w:p>
    <w:p w:rsidR="0098120E" w:rsidRPr="0098120E" w:rsidRDefault="0098120E" w:rsidP="0098120E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98120E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Выводы</w:t>
      </w:r>
    </w:p>
    <w:p w:rsidR="0098120E" w:rsidRPr="0098120E" w:rsidRDefault="0098120E" w:rsidP="0098120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98120E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lastRenderedPageBreak/>
        <w:t>Проведенное исследование позволяет сделать вывод о хорошем профилактическом действии и безопасности препарата «Абисил» при интраназальном использовании у детей дошкольного возраста.</w:t>
      </w:r>
    </w:p>
    <w:p w:rsidR="0098120E" w:rsidRPr="0098120E" w:rsidRDefault="0098120E" w:rsidP="0098120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98120E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Особенно эффективен этот препарат для профилактики заболеваний в младших группах детского сада, которые посещают дети в возрасте от 3 до 4 лет.</w:t>
      </w:r>
    </w:p>
    <w:p w:rsidR="0098120E" w:rsidRPr="0098120E" w:rsidRDefault="0098120E" w:rsidP="0098120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98120E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Наибольшая эффективность применения препарата выявлена в группе детей с хроническими заболеваниями.</w:t>
      </w:r>
    </w:p>
    <w:p w:rsidR="0098120E" w:rsidRPr="0098120E" w:rsidRDefault="0098120E" w:rsidP="0098120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98120E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Рекомендуется использование препарата «Абисил» в период эпидемического подъема для </w:t>
      </w:r>
      <w:hyperlink r:id="rId7" w:history="1">
        <w:r w:rsidRPr="0098120E">
          <w:rPr>
            <w:rFonts w:ascii="Times New Roman" w:eastAsia="Times New Roman" w:hAnsi="Times New Roman" w:cs="Times New Roman"/>
            <w:color w:val="6ABBCE"/>
            <w:sz w:val="24"/>
            <w:szCs w:val="24"/>
            <w:u w:val="single"/>
            <w:lang w:eastAsia="ru-RU"/>
          </w:rPr>
          <w:t>профилактики гриппа и ОРВИ</w:t>
        </w:r>
      </w:hyperlink>
      <w:r w:rsidRPr="0098120E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 у детей дошкольного возраста, посещающих организованные коллективы.</w:t>
      </w:r>
    </w:p>
    <w:p w:rsidR="00A12190" w:rsidRDefault="00A12190"/>
    <w:sectPr w:rsidR="00A12190" w:rsidSect="0098120E">
      <w:pgSz w:w="11906" w:h="16838"/>
      <w:pgMar w:top="567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1E0560"/>
    <w:multiLevelType w:val="multilevel"/>
    <w:tmpl w:val="D3D42B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20E"/>
    <w:rsid w:val="0098120E"/>
    <w:rsid w:val="00A12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12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12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12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12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7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initium-pharm.com/lechenie-simptomov-i-profilaktika-orvi-i-gripp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nitiumpharm.ru.s207875.gridserver.com/terpeny-terpenoidy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1030</Words>
  <Characters>5874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Василя</dc:creator>
  <cp:lastModifiedBy>Василя</cp:lastModifiedBy>
  <cp:revision>2</cp:revision>
  <cp:lastPrinted>2018-12-04T08:02:00Z</cp:lastPrinted>
  <dcterms:created xsi:type="dcterms:W3CDTF">2018-12-04T08:01:00Z</dcterms:created>
  <dcterms:modified xsi:type="dcterms:W3CDTF">2018-12-04T08:03:00Z</dcterms:modified>
</cp:coreProperties>
</file>