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28A" w:rsidRDefault="00B5328A" w:rsidP="00B5328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Памятка для родителей дошкольника о </w:t>
      </w:r>
      <w:proofErr w:type="spellStart"/>
      <w:r>
        <w:rPr>
          <w:rFonts w:ascii="Times New Roman" w:hAnsi="Times New Roman"/>
          <w:b/>
          <w:sz w:val="24"/>
          <w:szCs w:val="24"/>
        </w:rPr>
        <w:t>туберкулинодиагностике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 направлении к фтизиатру</w:t>
      </w:r>
    </w:p>
    <w:p w:rsidR="00B5328A" w:rsidRDefault="00B5328A" w:rsidP="00B5328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328A" w:rsidRDefault="00B5328A" w:rsidP="00B532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 родильном доме вашему ребенку сделали прививку БЦЖ – от нее остался рубчик на левом плече. Теперь необходимо оценить напряженность </w:t>
      </w:r>
      <w:proofErr w:type="spellStart"/>
      <w:r>
        <w:rPr>
          <w:rFonts w:ascii="Times New Roman" w:hAnsi="Times New Roman"/>
          <w:sz w:val="24"/>
          <w:szCs w:val="24"/>
        </w:rPr>
        <w:t>поствакцинального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иммунитета и своевременно провести профилактику туберкулеза – именно для этого нужна проба Манту, которую предлагают в детском саду ежегодно. </w:t>
      </w:r>
    </w:p>
    <w:p w:rsidR="00B5328A" w:rsidRDefault="00B5328A" w:rsidP="00B532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Многие ошибочно считают реакцию Манту прививкой, однако это не прививка, а кожная аллергическая проба, позволяющая определить напряженность иммунитета к туберкулезу и своевременно диагностировать заболевание у ребенка. Проба Манту проводится туберкулином – раствором осколков оболочек возбудителя туберкулеза (т. е. аллергеном, не вызывающим заболевания), который вводится в предплечье подкожно. Через три дня пробу измеряют.</w:t>
      </w:r>
    </w:p>
    <w:p w:rsidR="00B5328A" w:rsidRDefault="00B5328A" w:rsidP="00B532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При технически правильном внутрикожном введении туберкулина образуется </w:t>
      </w:r>
      <w:r>
        <w:rPr>
          <w:rFonts w:ascii="Times New Roman" w:hAnsi="Times New Roman"/>
          <w:sz w:val="24"/>
          <w:szCs w:val="24"/>
          <w:lang w:eastAsia="ru-RU"/>
        </w:rPr>
        <w:t>“</w:t>
      </w:r>
      <w:r>
        <w:rPr>
          <w:rFonts w:ascii="Times New Roman" w:hAnsi="Times New Roman"/>
          <w:sz w:val="24"/>
          <w:szCs w:val="24"/>
        </w:rPr>
        <w:t>лимонная корочка</w:t>
      </w:r>
      <w:r>
        <w:rPr>
          <w:rFonts w:ascii="Times New Roman" w:hAnsi="Times New Roman"/>
          <w:sz w:val="24"/>
          <w:szCs w:val="24"/>
          <w:lang w:eastAsia="ru-RU"/>
        </w:rPr>
        <w:t>”</w:t>
      </w:r>
      <w:r>
        <w:rPr>
          <w:rFonts w:ascii="Times New Roman" w:hAnsi="Times New Roman"/>
          <w:sz w:val="24"/>
          <w:szCs w:val="24"/>
        </w:rPr>
        <w:t xml:space="preserve">, а затем при положительной реакции появляется папула, напоминающая внешне укус комара. У ребенка, привитого вакциной БЦЖ, реакция Манту </w:t>
      </w:r>
      <w:proofErr w:type="gramStart"/>
      <w:r>
        <w:rPr>
          <w:rFonts w:ascii="Times New Roman" w:hAnsi="Times New Roman"/>
          <w:sz w:val="24"/>
          <w:szCs w:val="24"/>
        </w:rPr>
        <w:t>в первые</w:t>
      </w:r>
      <w:proofErr w:type="gramEnd"/>
      <w:r>
        <w:rPr>
          <w:rFonts w:ascii="Times New Roman" w:hAnsi="Times New Roman"/>
          <w:sz w:val="24"/>
          <w:szCs w:val="24"/>
        </w:rPr>
        <w:t xml:space="preserve"> 4–5 лет обычно стойко положительная (свыше </w:t>
      </w:r>
      <w:smartTag w:uri="urn:schemas-microsoft-com:office:smarttags" w:element="metricconverter">
        <w:smartTagPr>
          <w:attr w:name="ProductID" w:val="5 мм"/>
        </w:smartTagPr>
        <w:r>
          <w:rPr>
            <w:rFonts w:ascii="Times New Roman" w:hAnsi="Times New Roman"/>
            <w:sz w:val="24"/>
            <w:szCs w:val="24"/>
          </w:rPr>
          <w:t>5 мм</w:t>
        </w:r>
      </w:smartTag>
      <w:r>
        <w:rPr>
          <w:rFonts w:ascii="Times New Roman" w:hAnsi="Times New Roman"/>
          <w:sz w:val="24"/>
          <w:szCs w:val="24"/>
        </w:rPr>
        <w:t xml:space="preserve">, но не более </w:t>
      </w:r>
      <w:smartTag w:uri="urn:schemas-microsoft-com:office:smarttags" w:element="metricconverter">
        <w:smartTagPr>
          <w:attr w:name="ProductID" w:val="17 мм"/>
        </w:smartTagPr>
        <w:r>
          <w:rPr>
            <w:rFonts w:ascii="Times New Roman" w:hAnsi="Times New Roman"/>
            <w:sz w:val="24"/>
            <w:szCs w:val="24"/>
          </w:rPr>
          <w:t>17 мм</w:t>
        </w:r>
      </w:smartTag>
      <w:r>
        <w:rPr>
          <w:rFonts w:ascii="Times New Roman" w:hAnsi="Times New Roman"/>
          <w:sz w:val="24"/>
          <w:szCs w:val="24"/>
        </w:rPr>
        <w:t xml:space="preserve">) и постепенно угасающая. Это нормальное явление, т. н. </w:t>
      </w:r>
      <w:proofErr w:type="spellStart"/>
      <w:r>
        <w:rPr>
          <w:rFonts w:ascii="Times New Roman" w:hAnsi="Times New Roman"/>
          <w:sz w:val="24"/>
          <w:szCs w:val="24"/>
        </w:rPr>
        <w:t>поствакцинальная</w:t>
      </w:r>
      <w:proofErr w:type="spellEnd"/>
      <w:r>
        <w:rPr>
          <w:rFonts w:ascii="Times New Roman" w:hAnsi="Times New Roman"/>
          <w:sz w:val="24"/>
          <w:szCs w:val="24"/>
        </w:rPr>
        <w:t xml:space="preserve"> аллергия.</w:t>
      </w:r>
    </w:p>
    <w:p w:rsidR="00B5328A" w:rsidRDefault="00B5328A" w:rsidP="00B532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Отрицательная реакция Манту у привитого ребенка означает неэффективную вакцинацию, и ребенку могут предложить повторную процедуру.</w:t>
      </w:r>
    </w:p>
    <w:p w:rsidR="00B5328A" w:rsidRDefault="00B5328A" w:rsidP="00B532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реакция Манту нарастает более чем на 6 мм, или рядом появляются пузырьки, красная дорожка от пробы к локтю, или увеличиваются </w:t>
      </w:r>
      <w:proofErr w:type="spellStart"/>
      <w:r>
        <w:rPr>
          <w:rFonts w:ascii="Times New Roman" w:hAnsi="Times New Roman"/>
          <w:sz w:val="24"/>
          <w:szCs w:val="24"/>
        </w:rPr>
        <w:t>лимфоузлы</w:t>
      </w:r>
      <w:proofErr w:type="spellEnd"/>
      <w:r>
        <w:rPr>
          <w:rFonts w:ascii="Times New Roman" w:hAnsi="Times New Roman"/>
          <w:sz w:val="24"/>
          <w:szCs w:val="24"/>
        </w:rPr>
        <w:t xml:space="preserve">, то это признаки т. н. виража туберкулиновых проб, т. е. инфицирования возбудителем туберкулеза. В подобных случаях ребенка обязательно направляют на консультацию к фтизиатру. </w:t>
      </w:r>
    </w:p>
    <w:p w:rsidR="00B5328A" w:rsidRDefault="00B5328A" w:rsidP="00B532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Не отказывайтесь от похода к специалисту. Фтизиатр выяснит, истинная это реакция или ложноположительная, обследует ребенка и, возможно, назначит профилактическое лечение. Детская противотуберкулезная помощь </w:t>
      </w:r>
      <w:proofErr w:type="gramStart"/>
      <w:r>
        <w:rPr>
          <w:rFonts w:ascii="Times New Roman" w:hAnsi="Times New Roman"/>
          <w:sz w:val="24"/>
          <w:szCs w:val="24"/>
        </w:rPr>
        <w:t>направлена</w:t>
      </w:r>
      <w:proofErr w:type="gramEnd"/>
      <w:r>
        <w:rPr>
          <w:rFonts w:ascii="Times New Roman" w:hAnsi="Times New Roman"/>
          <w:sz w:val="24"/>
          <w:szCs w:val="24"/>
        </w:rPr>
        <w:t xml:space="preserve"> прежде всего на профилактику заболевания, потому что лечение туберкулеза продолжительное. </w:t>
      </w:r>
    </w:p>
    <w:p w:rsidR="00B5328A" w:rsidRDefault="00B5328A" w:rsidP="00B532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Помните, что при отсутствии заключения фтизиатра в течение месяца после направления ребенка, не обследованного на туберкулез, не рекомендуется допускать в детский сад, т. к. он может стать источником инфекции в детском коллективе. </w:t>
      </w:r>
    </w:p>
    <w:p w:rsidR="005A4A49" w:rsidRDefault="005A4A49"/>
    <w:sectPr w:rsidR="005A4A49" w:rsidSect="005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328A"/>
    <w:rsid w:val="005A4A49"/>
    <w:rsid w:val="00B53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8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2016-10-18T06:36:00Z</dcterms:created>
  <dcterms:modified xsi:type="dcterms:W3CDTF">2016-10-18T06:36:00Z</dcterms:modified>
</cp:coreProperties>
</file>