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684" w:type="dxa"/>
        <w:jc w:val="left"/>
        <w:tblInd w:w="0" w:type="dxa"/>
        <w:tblLayout w:type="fixed"/>
        <w:tblCellMar>
          <w:top w:w="0" w:type="dxa"/>
          <w:left w:w="70" w:type="dxa"/>
          <w:bottom w:w="0" w:type="dxa"/>
          <w:right w:w="70" w:type="dxa"/>
        </w:tblCellMar>
        <w:tblLook w:val="0000" w:noHBand="0" w:noVBand="0" w:firstColumn="0" w:lastRow="0" w:lastColumn="0" w:firstRow="0"/>
      </w:tblPr>
      <w:tblGrid>
        <w:gridCol w:w="4051"/>
        <w:gridCol w:w="1439"/>
        <w:gridCol w:w="4194"/>
      </w:tblGrid>
      <w:tr>
        <w:trPr>
          <w:trHeight w:val="2370" w:hRule="atLeast"/>
          <w:cantSplit w:val="true"/>
        </w:trPr>
        <w:tc>
          <w:tcPr>
            <w:tcW w:w="4051" w:type="dxa"/>
            <w:tcBorders/>
          </w:tcPr>
          <w:p>
            <w:pPr>
              <w:pStyle w:val="Normal"/>
              <w:widowControl w:val="false"/>
              <w:jc w:val="center"/>
              <w:rPr>
                <w:b/>
                <w:sz w:val="24"/>
              </w:rPr>
            </w:pPr>
            <w:r>
              <w:rPr>
                <w:b/>
                <w:sz w:val="24"/>
              </w:rPr>
              <w:t xml:space="preserve"> </w:t>
            </w:r>
            <w:r>
              <w:rPr>
                <w:b/>
                <w:sz w:val="24"/>
              </w:rPr>
              <w:t xml:space="preserve">МИНИСТЕРСТВО </w:t>
            </w:r>
          </w:p>
          <w:p>
            <w:pPr>
              <w:pStyle w:val="Normal"/>
              <w:widowControl w:val="false"/>
              <w:jc w:val="center"/>
              <w:rPr>
                <w:b/>
                <w:sz w:val="24"/>
              </w:rPr>
            </w:pPr>
            <w:r>
              <w:rPr>
                <w:b/>
                <w:sz w:val="24"/>
              </w:rPr>
              <w:t>ОБРАЗОВАНИЯ И НАУКИ</w:t>
            </w:r>
          </w:p>
          <w:p>
            <w:pPr>
              <w:pStyle w:val="Normal"/>
              <w:widowControl w:val="false"/>
              <w:jc w:val="center"/>
              <w:rPr>
                <w:b/>
                <w:sz w:val="8"/>
              </w:rPr>
            </w:pPr>
            <w:r>
              <w:rPr>
                <w:b/>
                <w:sz w:val="24"/>
              </w:rPr>
              <w:t xml:space="preserve">РЕСПУБЛИКИ ТАТАРСТАН </w:t>
            </w:r>
          </w:p>
          <w:p>
            <w:pPr>
              <w:pStyle w:val="Normal"/>
              <w:widowControl w:val="false"/>
              <w:jc w:val="center"/>
              <w:rPr>
                <w:b/>
                <w:sz w:val="8"/>
                <w:szCs w:val="8"/>
              </w:rPr>
            </w:pPr>
            <w:r>
              <w:rPr>
                <w:b/>
                <w:sz w:val="8"/>
                <w:szCs w:val="8"/>
              </w:rPr>
            </w:r>
          </w:p>
          <w:p>
            <w:pPr>
              <w:pStyle w:val="Normal"/>
              <w:widowControl w:val="false"/>
              <w:jc w:val="center"/>
              <w:rPr>
                <w:b/>
                <w:lang w:val="tt-RU"/>
              </w:rPr>
            </w:pPr>
            <w:r>
              <w:rPr>
                <w:b/>
              </w:rPr>
              <w:t>Государственное автономное образовательное учреждение</w:t>
            </w:r>
          </w:p>
          <w:p>
            <w:pPr>
              <w:pStyle w:val="Normal"/>
              <w:widowControl w:val="false"/>
              <w:jc w:val="center"/>
              <w:rPr>
                <w:b/>
                <w:sz w:val="8"/>
                <w:szCs w:val="8"/>
              </w:rPr>
            </w:pPr>
            <w:r>
              <w:rPr>
                <w:b/>
                <w:sz w:val="8"/>
                <w:szCs w:val="8"/>
              </w:rPr>
            </w:r>
          </w:p>
          <w:p>
            <w:pPr>
              <w:pStyle w:val="Normal"/>
              <w:widowControl w:val="false"/>
              <w:jc w:val="center"/>
              <w:rPr>
                <w:b/>
                <w:sz w:val="22"/>
              </w:rPr>
            </w:pPr>
            <w:r>
              <w:rPr>
                <w:b/>
                <w:sz w:val="22"/>
              </w:rPr>
              <w:t>«РЕСПУБЛИКАНСКИЙ ОЛИМПИАДНЫЙ ЦЕНТР»</w:t>
            </w:r>
          </w:p>
          <w:p>
            <w:pPr>
              <w:pStyle w:val="Normal"/>
              <w:widowControl w:val="false"/>
              <w:jc w:val="center"/>
              <w:rPr>
                <w:b/>
                <w:sz w:val="8"/>
              </w:rPr>
            </w:pPr>
            <w:r>
              <w:rPr>
                <w:b/>
                <w:sz w:val="8"/>
              </w:rPr>
            </w:r>
          </w:p>
          <w:p>
            <w:pPr>
              <w:pStyle w:val="Normal"/>
              <w:widowControl w:val="false"/>
              <w:jc w:val="center"/>
              <w:rPr>
                <w:b/>
                <w:sz w:val="18"/>
                <w:szCs w:val="18"/>
              </w:rPr>
            </w:pPr>
            <w:r>
              <w:rPr>
                <w:b/>
                <w:sz w:val="18"/>
                <w:szCs w:val="18"/>
              </w:rPr>
              <w:t>Социалистическая ул., д.5, г.Казань, 4200</w:t>
            </w:r>
            <w:r>
              <w:rPr>
                <w:b/>
                <w:sz w:val="18"/>
                <w:szCs w:val="18"/>
                <w:lang w:val="tt-RU"/>
              </w:rPr>
              <w:t>36</w:t>
            </w:r>
            <w:r>
              <w:rPr>
                <w:b/>
                <w:sz w:val="18"/>
                <w:szCs w:val="18"/>
              </w:rPr>
              <w:t xml:space="preserve"> </w:t>
            </w:r>
          </w:p>
        </w:tc>
        <w:tc>
          <w:tcPr>
            <w:tcW w:w="1439" w:type="dxa"/>
            <w:tcBorders/>
          </w:tcPr>
          <w:p>
            <w:pPr>
              <w:pStyle w:val="Normal"/>
              <w:widowControl w:val="false"/>
              <w:spacing w:before="360" w:after="0"/>
              <w:jc w:val="center"/>
              <w:rPr>
                <w:sz w:val="28"/>
              </w:rPr>
            </w:pPr>
            <w:r>
              <w:rPr>
                <w:sz w:val="28"/>
              </w:rPr>
              <w:drawing>
                <wp:anchor behindDoc="0" distT="0" distB="0" distL="0" distR="0" simplePos="0" locked="0" layoutInCell="1" allowOverlap="1" relativeHeight="3">
                  <wp:simplePos x="0" y="0"/>
                  <wp:positionH relativeFrom="column">
                    <wp:posOffset>95885</wp:posOffset>
                  </wp:positionH>
                  <wp:positionV relativeFrom="paragraph">
                    <wp:posOffset>22860</wp:posOffset>
                  </wp:positionV>
                  <wp:extent cx="710565" cy="724535"/>
                  <wp:effectExtent l="0" t="0" r="0" b="0"/>
                  <wp:wrapNone/>
                  <wp:docPr id="1" name="Рисунок 2" descr="gerb_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gerb_rt"/>
                          <pic:cNvPicPr>
                            <a:picLocks noChangeAspect="1" noChangeArrowheads="1"/>
                          </pic:cNvPicPr>
                        </pic:nvPicPr>
                        <pic:blipFill>
                          <a:blip r:embed="rId2"/>
                          <a:stretch>
                            <a:fillRect/>
                          </a:stretch>
                        </pic:blipFill>
                        <pic:spPr bwMode="auto">
                          <a:xfrm>
                            <a:off x="0" y="0"/>
                            <a:ext cx="710565" cy="724535"/>
                          </a:xfrm>
                          <a:prstGeom prst="rect">
                            <a:avLst/>
                          </a:prstGeom>
                        </pic:spPr>
                      </pic:pic>
                    </a:graphicData>
                  </a:graphic>
                </wp:anchor>
              </w:drawing>
            </w:r>
          </w:p>
        </w:tc>
        <w:tc>
          <w:tcPr>
            <w:tcW w:w="4194" w:type="dxa"/>
            <w:tcBorders/>
          </w:tcPr>
          <w:p>
            <w:pPr>
              <w:pStyle w:val="Normal"/>
              <w:widowControl w:val="false"/>
              <w:jc w:val="center"/>
              <w:rPr>
                <w:b/>
                <w:sz w:val="24"/>
              </w:rPr>
            </w:pPr>
            <w:r>
              <w:rPr>
                <w:b/>
                <w:sz w:val="24"/>
              </w:rPr>
              <w:t>ТАТАРСТАН РЕСПУБЛИКАСЫ</w:t>
            </w:r>
          </w:p>
          <w:p>
            <w:pPr>
              <w:pStyle w:val="Normal"/>
              <w:widowControl w:val="false"/>
              <w:jc w:val="center"/>
              <w:rPr>
                <w:b/>
                <w:sz w:val="24"/>
              </w:rPr>
            </w:pPr>
            <w:r>
              <w:rPr>
                <w:b/>
                <w:sz w:val="24"/>
                <w:lang w:val="tt-RU"/>
              </w:rPr>
              <w:t>МӘГАРИФ ҺӘМ ФӘН</w:t>
            </w:r>
            <w:r>
              <w:rPr>
                <w:b/>
                <w:sz w:val="24"/>
              </w:rPr>
              <w:t xml:space="preserve"> МИНИСТРЛЫГЫ</w:t>
            </w:r>
          </w:p>
          <w:p>
            <w:pPr>
              <w:pStyle w:val="Normal"/>
              <w:widowControl w:val="false"/>
              <w:jc w:val="center"/>
              <w:rPr>
                <w:b/>
                <w:spacing w:val="12"/>
                <w:sz w:val="8"/>
              </w:rPr>
            </w:pPr>
            <w:r>
              <w:rPr>
                <w:b/>
                <w:spacing w:val="12"/>
                <w:sz w:val="8"/>
              </w:rPr>
            </w:r>
          </w:p>
          <w:p>
            <w:pPr>
              <w:pStyle w:val="Normal"/>
              <w:widowControl w:val="false"/>
              <w:jc w:val="center"/>
              <w:rPr>
                <w:b/>
                <w:lang w:val="tt-RU"/>
              </w:rPr>
            </w:pPr>
            <w:r>
              <w:rPr>
                <w:b/>
                <w:lang w:val="tt-RU"/>
              </w:rPr>
              <w:t xml:space="preserve">Дәүләт автоном белем бирү </w:t>
            </w:r>
          </w:p>
          <w:p>
            <w:pPr>
              <w:pStyle w:val="Normal"/>
              <w:widowControl w:val="false"/>
              <w:jc w:val="center"/>
              <w:rPr>
                <w:b/>
                <w:lang w:val="tt-RU"/>
              </w:rPr>
            </w:pPr>
            <w:r>
              <w:rPr>
                <w:b/>
                <w:lang w:val="tt-RU"/>
              </w:rPr>
              <w:t>учре</w:t>
            </w:r>
            <w:r>
              <w:rPr>
                <w:b/>
              </w:rPr>
              <w:t>ж</w:t>
            </w:r>
            <w:r>
              <w:rPr>
                <w:b/>
                <w:lang w:val="tt-RU"/>
              </w:rPr>
              <w:t>дениесе</w:t>
            </w:r>
          </w:p>
          <w:p>
            <w:pPr>
              <w:pStyle w:val="Normal"/>
              <w:widowControl w:val="false"/>
              <w:jc w:val="center"/>
              <w:rPr>
                <w:spacing w:val="-8"/>
                <w:sz w:val="8"/>
                <w:szCs w:val="8"/>
                <w:lang w:val="tt-RU"/>
              </w:rPr>
            </w:pPr>
            <w:r>
              <w:rPr>
                <w:spacing w:val="-8"/>
                <w:sz w:val="8"/>
                <w:szCs w:val="8"/>
                <w:lang w:val="tt-RU"/>
              </w:rPr>
            </w:r>
          </w:p>
          <w:p>
            <w:pPr>
              <w:pStyle w:val="Normal"/>
              <w:widowControl w:val="false"/>
              <w:jc w:val="center"/>
              <w:rPr>
                <w:b/>
                <w:caps/>
                <w:sz w:val="22"/>
                <w:lang w:val="tt-RU"/>
              </w:rPr>
            </w:pPr>
            <w:r>
              <w:rPr>
                <w:b/>
                <w:sz w:val="22"/>
                <w:lang w:val="tt-RU"/>
              </w:rPr>
              <w:t>«РЕСПУБЛИКА ОЛИМПИАДА ҮЗӘГЕ</w:t>
            </w:r>
            <w:r>
              <w:rPr>
                <w:b/>
                <w:caps/>
                <w:sz w:val="22"/>
                <w:lang w:val="tt-RU"/>
              </w:rPr>
              <w:t>»</w:t>
            </w:r>
          </w:p>
          <w:p>
            <w:pPr>
              <w:pStyle w:val="Normal"/>
              <w:widowControl w:val="false"/>
              <w:jc w:val="center"/>
              <w:rPr>
                <w:b/>
                <w:sz w:val="8"/>
                <w:lang w:val="tt-RU"/>
              </w:rPr>
            </w:pPr>
            <w:r>
              <w:rPr>
                <w:b/>
                <w:sz w:val="8"/>
                <w:lang w:val="tt-RU"/>
              </w:rPr>
            </w:r>
          </w:p>
          <w:p>
            <w:pPr>
              <w:pStyle w:val="Normal"/>
              <w:widowControl w:val="false"/>
              <w:jc w:val="center"/>
              <w:rPr>
                <w:b/>
                <w:spacing w:val="-8"/>
                <w:sz w:val="12"/>
                <w:szCs w:val="18"/>
              </w:rPr>
            </w:pPr>
            <w:r>
              <w:rPr>
                <w:rFonts w:eastAsia="Calibri"/>
                <w:b/>
                <w:sz w:val="18"/>
                <w:szCs w:val="24"/>
                <w:lang w:val="tt-RU" w:eastAsia="en-US"/>
              </w:rPr>
              <w:t xml:space="preserve">420036  </w:t>
            </w:r>
            <w:r>
              <w:rPr>
                <w:rFonts w:eastAsia="Calibri"/>
                <w:b/>
                <w:sz w:val="18"/>
                <w:szCs w:val="24"/>
                <w:lang w:val="hsb-DE" w:eastAsia="en-US"/>
              </w:rPr>
              <w:t>Казан шәһәре,</w:t>
            </w:r>
            <w:r>
              <w:rPr>
                <w:rFonts w:eastAsia="Calibri"/>
                <w:b/>
                <w:sz w:val="18"/>
                <w:szCs w:val="24"/>
                <w:lang w:val="tt-RU" w:eastAsia="en-US"/>
              </w:rPr>
              <w:t xml:space="preserve"> Социалистик ур.,</w:t>
            </w:r>
            <w:r>
              <w:rPr>
                <w:rFonts w:eastAsia="Calibri"/>
                <w:b/>
                <w:sz w:val="18"/>
                <w:szCs w:val="24"/>
                <w:lang w:val="hsb-DE" w:eastAsia="en-US"/>
              </w:rPr>
              <w:t xml:space="preserve"> </w:t>
            </w:r>
            <w:r>
              <w:rPr>
                <w:rFonts w:eastAsia="Calibri"/>
                <w:b/>
                <w:sz w:val="18"/>
                <w:szCs w:val="24"/>
                <w:lang w:eastAsia="en-US"/>
              </w:rPr>
              <w:t>5-йорт</w:t>
            </w:r>
          </w:p>
          <w:p>
            <w:pPr>
              <w:pStyle w:val="Normal"/>
              <w:widowControl w:val="false"/>
              <w:jc w:val="center"/>
              <w:rPr>
                <w:sz w:val="18"/>
                <w:szCs w:val="18"/>
              </w:rPr>
            </w:pPr>
            <w:r>
              <w:rPr>
                <w:sz w:val="18"/>
                <w:szCs w:val="18"/>
              </w:rPr>
            </w:r>
          </w:p>
        </w:tc>
      </w:tr>
      <w:tr>
        <w:trPr>
          <w:trHeight w:val="178" w:hRule="atLeast"/>
          <w:cantSplit w:val="true"/>
        </w:trPr>
        <w:tc>
          <w:tcPr>
            <w:tcW w:w="9684" w:type="dxa"/>
            <w:gridSpan w:val="3"/>
            <w:tcBorders>
              <w:bottom w:val="single" w:sz="4" w:space="0" w:color="000000"/>
            </w:tcBorders>
          </w:tcPr>
          <w:p>
            <w:pPr>
              <w:pStyle w:val="Normal"/>
              <w:widowControl w:val="false"/>
              <w:jc w:val="center"/>
              <w:rPr>
                <w:b/>
                <w:lang w:val="en-US"/>
              </w:rPr>
            </w:pPr>
            <w:r>
              <w:rPr>
                <w:b/>
                <w:lang w:val="tt-RU"/>
              </w:rPr>
              <w:t xml:space="preserve">тел.: (843)590-32-42, 590-27-97, e-mail: </w:t>
            </w:r>
            <w:r>
              <w:rPr>
                <w:b/>
                <w:lang w:val="en-US"/>
              </w:rPr>
              <w:t>Gulnara.Islamova@tatar.ru</w:t>
            </w:r>
          </w:p>
        </w:tc>
      </w:tr>
    </w:tbl>
    <w:p>
      <w:pPr>
        <w:pStyle w:val="Normal"/>
        <w:widowControl w:val="false"/>
        <w:spacing w:before="180" w:after="0"/>
        <w:rPr>
          <w:sz w:val="24"/>
          <w:szCs w:val="24"/>
        </w:rPr>
      </w:pPr>
      <w:r>
        <w:rPr>
          <w:sz w:val="24"/>
          <w:szCs w:val="24"/>
        </w:rPr>
        <w:t>__________________ № ____________</w:t>
      </w:r>
    </w:p>
    <w:p>
      <w:pPr>
        <w:pStyle w:val="Normal"/>
        <w:widowControl w:val="false"/>
        <w:spacing w:before="180" w:after="0"/>
        <w:rPr>
          <w:sz w:val="24"/>
          <w:szCs w:val="24"/>
        </w:rPr>
      </w:pPr>
      <w:r>
        <w:rPr>
          <w:sz w:val="24"/>
          <w:szCs w:val="24"/>
        </w:rPr>
        <w:t>На № _____________ от ____________</w:t>
      </w:r>
    </w:p>
    <w:p>
      <w:pPr>
        <w:pStyle w:val="Normal"/>
        <w:widowControl w:val="false"/>
        <w:ind w:left="6096" w:hanging="0"/>
        <w:jc w:val="both"/>
        <w:rPr>
          <w:rFonts w:eastAsia="Calibri"/>
          <w:b/>
          <w:bCs/>
          <w:sz w:val="28"/>
          <w:szCs w:val="28"/>
        </w:rPr>
      </w:pPr>
      <w:r>
        <w:rPr>
          <w:rFonts w:eastAsia="Calibri"/>
          <w:b/>
          <w:bCs/>
          <w:sz w:val="28"/>
          <w:szCs w:val="28"/>
        </w:rPr>
        <w:t xml:space="preserve">Начальникам отделов </w:t>
      </w:r>
    </w:p>
    <w:p>
      <w:pPr>
        <w:pStyle w:val="Normal"/>
        <w:widowControl w:val="false"/>
        <w:ind w:left="6096" w:hanging="0"/>
        <w:jc w:val="both"/>
        <w:rPr>
          <w:rFonts w:eastAsia="Calibri"/>
          <w:b/>
          <w:bCs/>
          <w:sz w:val="28"/>
          <w:szCs w:val="28"/>
        </w:rPr>
      </w:pPr>
      <w:r>
        <w:rPr>
          <w:rFonts w:eastAsia="Calibri"/>
          <w:b/>
          <w:bCs/>
          <w:sz w:val="28"/>
          <w:szCs w:val="28"/>
        </w:rPr>
        <w:t>(управлений) образования</w:t>
      </w:r>
    </w:p>
    <w:p>
      <w:pPr>
        <w:pStyle w:val="Normal"/>
        <w:widowControl w:val="false"/>
        <w:ind w:left="6096" w:hanging="0"/>
        <w:jc w:val="both"/>
        <w:rPr>
          <w:rFonts w:eastAsia="Calibri"/>
          <w:b/>
          <w:bCs/>
          <w:sz w:val="28"/>
          <w:szCs w:val="28"/>
        </w:rPr>
      </w:pPr>
      <w:r>
        <w:rPr>
          <w:rFonts w:eastAsia="Calibri"/>
          <w:b/>
          <w:bCs/>
          <w:sz w:val="28"/>
          <w:szCs w:val="28"/>
        </w:rPr>
        <w:t>Исполнительных комитетов</w:t>
      </w:r>
    </w:p>
    <w:p>
      <w:pPr>
        <w:pStyle w:val="Normal"/>
        <w:widowControl w:val="false"/>
        <w:ind w:left="6096" w:hanging="0"/>
        <w:jc w:val="both"/>
        <w:rPr>
          <w:rFonts w:eastAsia="Calibri"/>
          <w:b/>
          <w:bCs/>
          <w:sz w:val="28"/>
          <w:szCs w:val="28"/>
        </w:rPr>
      </w:pPr>
      <w:r>
        <w:rPr>
          <w:rFonts w:eastAsia="Calibri"/>
          <w:b/>
          <w:bCs/>
          <w:sz w:val="28"/>
          <w:szCs w:val="28"/>
        </w:rPr>
        <w:t xml:space="preserve">муниципальных образований </w:t>
      </w:r>
    </w:p>
    <w:p>
      <w:pPr>
        <w:pStyle w:val="Normal"/>
        <w:widowControl w:val="false"/>
        <w:ind w:left="6096" w:hanging="0"/>
        <w:jc w:val="both"/>
        <w:rPr>
          <w:rFonts w:eastAsia="Calibri"/>
          <w:b/>
          <w:bCs/>
          <w:sz w:val="28"/>
          <w:szCs w:val="28"/>
        </w:rPr>
      </w:pPr>
      <w:r>
        <w:rPr>
          <w:rFonts w:eastAsia="Calibri"/>
          <w:b/>
          <w:bCs/>
          <w:sz w:val="28"/>
          <w:szCs w:val="28"/>
        </w:rPr>
        <w:t>Республики Татарстан</w:t>
      </w:r>
    </w:p>
    <w:p>
      <w:pPr>
        <w:pStyle w:val="Normal"/>
        <w:keepNext w:val="true"/>
        <w:widowControl w:val="false"/>
        <w:numPr>
          <w:ilvl w:val="0"/>
          <w:numId w:val="0"/>
        </w:numPr>
        <w:ind w:right="5436" w:hanging="0"/>
        <w:outlineLvl w:val="0"/>
        <w:rPr>
          <w:rFonts w:eastAsia="Calibri"/>
          <w:sz w:val="24"/>
          <w:szCs w:val="24"/>
          <w:lang w:val="en-US"/>
        </w:rPr>
      </w:pPr>
      <w:bookmarkStart w:id="0" w:name="_GoBack"/>
      <w:r>
        <w:rPr>
          <w:rFonts w:eastAsia="Calibri"/>
          <w:sz w:val="24"/>
          <w:szCs w:val="24"/>
        </w:rPr>
        <w:t xml:space="preserve">О проведении Х республиканского </w:t>
      </w:r>
    </w:p>
    <w:p>
      <w:pPr>
        <w:pStyle w:val="Normal"/>
        <w:keepNext w:val="true"/>
        <w:widowControl w:val="false"/>
        <w:numPr>
          <w:ilvl w:val="0"/>
          <w:numId w:val="0"/>
        </w:numPr>
        <w:ind w:right="5436" w:hanging="0"/>
        <w:outlineLvl w:val="0"/>
        <w:rPr>
          <w:rFonts w:eastAsia="Calibri"/>
          <w:sz w:val="24"/>
          <w:szCs w:val="24"/>
        </w:rPr>
      </w:pPr>
      <w:bookmarkStart w:id="1" w:name="_GoBack"/>
      <w:r>
        <w:rPr>
          <w:rFonts w:eastAsia="Calibri"/>
          <w:sz w:val="24"/>
          <w:szCs w:val="24"/>
        </w:rPr>
        <w:t>химического турнира Татарстана</w:t>
      </w:r>
      <w:bookmarkEnd w:id="1"/>
    </w:p>
    <w:p>
      <w:pPr>
        <w:pStyle w:val="Normal"/>
        <w:keepNext w:val="true"/>
        <w:widowControl w:val="false"/>
        <w:numPr>
          <w:ilvl w:val="0"/>
          <w:numId w:val="0"/>
        </w:numPr>
        <w:ind w:left="708" w:hanging="0"/>
        <w:outlineLvl w:val="0"/>
        <w:rPr>
          <w:rFonts w:eastAsia="Calibri"/>
          <w:sz w:val="28"/>
          <w:szCs w:val="28"/>
        </w:rPr>
      </w:pPr>
      <w:r>
        <w:rPr>
          <w:rFonts w:eastAsia="Calibri"/>
          <w:sz w:val="28"/>
          <w:szCs w:val="28"/>
        </w:rPr>
      </w:r>
    </w:p>
    <w:p>
      <w:pPr>
        <w:pStyle w:val="Normal"/>
        <w:keepNext w:val="true"/>
        <w:widowControl w:val="false"/>
        <w:numPr>
          <w:ilvl w:val="0"/>
          <w:numId w:val="0"/>
        </w:numPr>
        <w:ind w:left="708" w:hanging="0"/>
        <w:outlineLvl w:val="0"/>
        <w:rPr>
          <w:rFonts w:eastAsia="Calibri"/>
          <w:sz w:val="28"/>
          <w:szCs w:val="28"/>
        </w:rPr>
      </w:pPr>
      <w:r>
        <w:rPr>
          <w:rFonts w:eastAsia="Calibri"/>
          <w:sz w:val="28"/>
          <w:szCs w:val="28"/>
        </w:rPr>
      </w:r>
    </w:p>
    <w:p>
      <w:pPr>
        <w:pStyle w:val="Normal"/>
        <w:widowControl w:val="false"/>
        <w:ind w:firstLine="709"/>
        <w:jc w:val="both"/>
        <w:rPr>
          <w:rFonts w:eastAsia="Calibri"/>
          <w:sz w:val="28"/>
          <w:szCs w:val="28"/>
        </w:rPr>
      </w:pPr>
      <w:r>
        <w:rPr>
          <w:sz w:val="28"/>
          <w:szCs w:val="28"/>
        </w:rPr>
        <w:t xml:space="preserve">Во исполнение приказа Министерства образования и науки Республики Татарстан от 15.10.2024 № под-1729/24 «Об утверждении Календарного плана мероприятий по развитию олимпиадного движения в Республике Татарстан в 2024/2025 учебном году», </w:t>
      </w:r>
      <w:r>
        <w:rPr>
          <w:rFonts w:eastAsia="Calibri"/>
          <w:sz w:val="28"/>
          <w:szCs w:val="28"/>
        </w:rPr>
        <w:t xml:space="preserve"> в целях подготовки школьников к интеллектуальным конкурсам и соревнованиям по химии, развития у учащихся интереса к науке, популяризации химии,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 при содействии ФГАОУ ВО «Казанский (Приволжский) федеральный университет» и  Оргкомитета Межрегионального химического турнира проводит Х республиканский химический турнир (далее – Турнир), в котором могут принять участие команды общеобразовательных школ Республики Татарстан. </w:t>
      </w:r>
    </w:p>
    <w:p>
      <w:pPr>
        <w:pStyle w:val="Normal"/>
        <w:widowControl w:val="false"/>
        <w:ind w:firstLine="709"/>
        <w:jc w:val="both"/>
        <w:rPr>
          <w:rFonts w:eastAsia="Calibri"/>
          <w:sz w:val="28"/>
          <w:szCs w:val="28"/>
        </w:rPr>
      </w:pPr>
      <w:r>
        <w:rPr>
          <w:rFonts w:eastAsia="Calibri"/>
          <w:sz w:val="28"/>
          <w:szCs w:val="28"/>
        </w:rPr>
        <w:t>Турнир – командное соревнование, заключающееся в решении открытых химических задач и защите своих решений. Подробную информацию о Турнире и его правилах можно получить на сайте http://chemical-tournament.ru/.</w:t>
      </w:r>
    </w:p>
    <w:p>
      <w:pPr>
        <w:pStyle w:val="Normal"/>
        <w:widowControl w:val="false"/>
        <w:ind w:firstLine="709"/>
        <w:jc w:val="both"/>
        <w:rPr>
          <w:rFonts w:eastAsia="Calibri"/>
          <w:sz w:val="28"/>
          <w:szCs w:val="28"/>
        </w:rPr>
      </w:pPr>
      <w:r>
        <w:rPr>
          <w:rFonts w:eastAsia="Calibri"/>
          <w:sz w:val="28"/>
          <w:szCs w:val="28"/>
        </w:rPr>
        <w:t>Команда должна состоять из 3-6 участников – обучающихся одного и того же или разных образовательных учреждений (далее – Школы). От каждой Школы может быть представлено не более трёх команд.</w:t>
      </w:r>
    </w:p>
    <w:p>
      <w:pPr>
        <w:pStyle w:val="Normal"/>
        <w:widowControl w:val="false"/>
        <w:ind w:firstLine="709"/>
        <w:jc w:val="both"/>
        <w:rPr>
          <w:rFonts w:eastAsia="Calibri"/>
          <w:sz w:val="28"/>
          <w:szCs w:val="28"/>
        </w:rPr>
      </w:pPr>
      <w:r>
        <w:rPr>
          <w:rFonts w:eastAsia="Calibri"/>
          <w:sz w:val="28"/>
          <w:szCs w:val="28"/>
        </w:rPr>
        <w:t>Турнир состоит из решения задач (задачи прилагаются).</w:t>
      </w:r>
    </w:p>
    <w:p>
      <w:pPr>
        <w:pStyle w:val="Normal"/>
        <w:widowControl w:val="false"/>
        <w:ind w:firstLine="709"/>
        <w:jc w:val="both"/>
        <w:rPr>
          <w:rFonts w:eastAsia="Calibri"/>
          <w:sz w:val="28"/>
          <w:szCs w:val="28"/>
        </w:rPr>
      </w:pPr>
      <w:r>
        <w:rPr>
          <w:rFonts w:eastAsia="Calibri"/>
          <w:sz w:val="28"/>
          <w:szCs w:val="28"/>
        </w:rPr>
        <w:t>Сроки проведения Турнира: 16-17 ноября 2024 года.</w:t>
      </w:r>
    </w:p>
    <w:p>
      <w:pPr>
        <w:pStyle w:val="Normal"/>
        <w:widowControl w:val="false"/>
        <w:ind w:firstLine="709"/>
        <w:jc w:val="both"/>
        <w:rPr>
          <w:rFonts w:eastAsia="Calibri"/>
          <w:sz w:val="28"/>
          <w:szCs w:val="28"/>
        </w:rPr>
      </w:pPr>
      <w:r>
        <w:rPr>
          <w:rFonts w:eastAsia="Calibri"/>
          <w:sz w:val="28"/>
          <w:szCs w:val="28"/>
        </w:rPr>
        <w:t>Место проведения: г.</w:t>
      </w:r>
      <w:r>
        <w:rPr>
          <w:rFonts w:eastAsia="Calibri"/>
          <w:sz w:val="28"/>
          <w:szCs w:val="28"/>
          <w:lang w:val="en-US"/>
        </w:rPr>
        <w:t> </w:t>
      </w:r>
      <w:r>
        <w:rPr>
          <w:rFonts w:eastAsia="Calibri"/>
          <w:sz w:val="28"/>
          <w:szCs w:val="28"/>
        </w:rPr>
        <w:t>Казань, ул.</w:t>
      </w:r>
      <w:r>
        <w:rPr>
          <w:rFonts w:eastAsia="Calibri"/>
          <w:sz w:val="28"/>
          <w:szCs w:val="28"/>
          <w:lang w:val="en-US"/>
        </w:rPr>
        <w:t> </w:t>
      </w:r>
      <w:r>
        <w:rPr>
          <w:rFonts w:eastAsia="Calibri"/>
          <w:sz w:val="28"/>
          <w:szCs w:val="28"/>
        </w:rPr>
        <w:t>Прибольничная, д.15, структурное подразделение ГАОУ «РОЦ» оздоровительно-образовательный комплекс «Дуслык» (далее – ООК «Дуслык»).</w:t>
      </w:r>
    </w:p>
    <w:p>
      <w:pPr>
        <w:pStyle w:val="Normal"/>
        <w:widowControl w:val="false"/>
        <w:ind w:firstLine="709"/>
        <w:jc w:val="both"/>
        <w:rPr>
          <w:rFonts w:eastAsia="Calibri"/>
          <w:sz w:val="28"/>
          <w:szCs w:val="28"/>
        </w:rPr>
      </w:pPr>
      <w:r>
        <w:rPr>
          <w:rFonts w:eastAsia="Calibri"/>
          <w:sz w:val="28"/>
          <w:szCs w:val="28"/>
        </w:rPr>
        <w:t xml:space="preserve">Команда-победитель Турнира и призеры, набравшие наивысшие в рейтинге баллы в соответствии с квотой, выделенной на каждый регион, приглашаются на окружной этап Приволжского химического турнира. Команда-победитель Турнира также приглашается на финальный этап Межрегионального химического турнира.  </w:t>
      </w:r>
    </w:p>
    <w:p>
      <w:pPr>
        <w:pStyle w:val="Normal"/>
        <w:widowControl w:val="false"/>
        <w:spacing w:before="40" w:after="0"/>
        <w:ind w:firstLine="709"/>
        <w:jc w:val="both"/>
        <w:rPr>
          <w:rFonts w:ascii="Times New Roman CYR" w:hAnsi="Times New Roman CYR" w:eastAsia="Calibri" w:cs="Times New Roman CYR"/>
          <w:sz w:val="28"/>
          <w:szCs w:val="22"/>
          <w:lang w:eastAsia="en-US"/>
        </w:rPr>
      </w:pPr>
      <w:r>
        <w:rPr>
          <w:rFonts w:eastAsia="Calibri"/>
          <w:sz w:val="28"/>
          <w:szCs w:val="28"/>
        </w:rPr>
        <w:t xml:space="preserve">Для участия в Турнире необходимо до 3 ноября 2024 года отправить прилагаемую заявку на электронную почту </w:t>
      </w:r>
      <w:hyperlink r:id="rId3">
        <w:r>
          <w:rPr>
            <w:rStyle w:val="-"/>
            <w:rFonts w:eastAsia="Calibri"/>
            <w:color w:val="000000" w:themeColor="text1"/>
            <w:sz w:val="28"/>
            <w:szCs w:val="28"/>
            <w:u w:val="none"/>
          </w:rPr>
          <w:t>saf.gulnazira@yandex.ru</w:t>
        </w:r>
      </w:hyperlink>
      <w:r>
        <w:rPr>
          <w:rFonts w:eastAsia="Calibri"/>
          <w:color w:val="000000" w:themeColor="text1"/>
          <w:sz w:val="28"/>
          <w:szCs w:val="28"/>
        </w:rPr>
        <w:t xml:space="preserve"> и пройти регистрацию на сайте: </w:t>
      </w:r>
      <w:hyperlink r:id="rId4">
        <w:r>
          <w:rPr>
            <w:rStyle w:val="-"/>
            <w:color w:val="000000" w:themeColor="text1"/>
            <w:sz w:val="28"/>
            <w:szCs w:val="28"/>
            <w:u w:val="none"/>
          </w:rPr>
          <w:t>http://chemical-tournament.ru/reg</w:t>
        </w:r>
      </w:hyperlink>
      <w:r>
        <w:rPr>
          <w:rStyle w:val="-"/>
          <w:sz w:val="28"/>
          <w:szCs w:val="28"/>
          <w:u w:val="none"/>
        </w:rPr>
        <w:t>.</w:t>
      </w:r>
      <w:r>
        <w:rPr>
          <w:rFonts w:eastAsia="Calibri"/>
          <w:sz w:val="28"/>
          <w:szCs w:val="28"/>
        </w:rPr>
        <w:t xml:space="preserve"> </w:t>
      </w:r>
      <w:r>
        <w:rPr>
          <w:rFonts w:eastAsia="Calibri" w:cs="Times New Roman CYR" w:ascii="Times New Roman CYR" w:hAnsi="Times New Roman CYR"/>
          <w:sz w:val="28"/>
          <w:szCs w:val="22"/>
          <w:lang w:eastAsia="en-US"/>
        </w:rPr>
        <w:t>Заявка заполняется наставником команды, заверяется подписью директора (завуча) учреждения и печатью. Бумажный вариант заявки (с подписью и печатью) руководитель (или капитан) команды должен представить в Оргкомитет турнира  непосредственно перед началом турнира (по прибытии команды).</w:t>
      </w:r>
    </w:p>
    <w:p>
      <w:pPr>
        <w:pStyle w:val="Normal"/>
        <w:ind w:firstLine="709"/>
        <w:jc w:val="both"/>
        <w:rPr>
          <w:rFonts w:eastAsia="Calibri"/>
          <w:sz w:val="28"/>
          <w:szCs w:val="28"/>
        </w:rPr>
      </w:pPr>
      <w:r>
        <w:rPr>
          <w:rFonts w:eastAsia="Calibri"/>
          <w:sz w:val="28"/>
          <w:szCs w:val="28"/>
        </w:rPr>
        <w:t xml:space="preserve">После 4 ноября 2024 года будет опубликован список команд-участников Турнира на сайте ГАОУ «РОЦ». </w:t>
      </w:r>
    </w:p>
    <w:p>
      <w:pPr>
        <w:pStyle w:val="Normal"/>
        <w:widowControl w:val="false"/>
        <w:ind w:firstLine="709"/>
        <w:jc w:val="both"/>
        <w:rPr>
          <w:rFonts w:eastAsia="Calibri"/>
          <w:sz w:val="28"/>
          <w:szCs w:val="28"/>
        </w:rPr>
      </w:pPr>
      <w:r>
        <w:rPr>
          <w:rFonts w:eastAsia="Calibri"/>
          <w:sz w:val="28"/>
          <w:szCs w:val="28"/>
        </w:rPr>
        <w:t xml:space="preserve">Предусмотрен организационный взнос на каждого участника и руководителя команды по 2000,00 (две тысячи) рублей. Квитанция будет отправлена на электронную почту участников. </w:t>
      </w:r>
    </w:p>
    <w:p>
      <w:pPr>
        <w:pStyle w:val="Normal"/>
        <w:widowControl w:val="false"/>
        <w:ind w:firstLine="709"/>
        <w:jc w:val="both"/>
        <w:rPr>
          <w:rFonts w:eastAsia="Calibri"/>
          <w:sz w:val="28"/>
          <w:szCs w:val="28"/>
        </w:rPr>
      </w:pPr>
      <w:r>
        <w:rPr>
          <w:rFonts w:eastAsia="Calibri"/>
          <w:sz w:val="28"/>
          <w:szCs w:val="28"/>
        </w:rPr>
        <w:t>Для иногородних участников Турнира предусмотрено проживание в ООК «Дуслык» - 850 рублей за сутки.</w:t>
      </w:r>
    </w:p>
    <w:p>
      <w:pPr>
        <w:pStyle w:val="Normal"/>
        <w:widowControl w:val="false"/>
        <w:spacing w:before="0" w:after="0"/>
        <w:ind w:firstLine="709"/>
        <w:contextualSpacing/>
        <w:jc w:val="both"/>
        <w:rPr>
          <w:rFonts w:eastAsia="Calibri"/>
          <w:sz w:val="28"/>
          <w:szCs w:val="28"/>
        </w:rPr>
      </w:pPr>
      <w:r>
        <w:rPr>
          <w:sz w:val="28"/>
          <w:szCs w:val="28"/>
        </w:rPr>
        <w:t>Оплату необходимо осуществить в срок до 10 ноября 2024 года, квитанцию выслать на электронную почту куратора Турнира. Оригинал квитанции вместе с другими необходимыми документами необходимо иметь при себе во время заезда.</w:t>
      </w:r>
    </w:p>
    <w:p>
      <w:pPr>
        <w:pStyle w:val="Normal"/>
        <w:widowControl w:val="false"/>
        <w:spacing w:before="0" w:after="0"/>
        <w:ind w:firstLine="709"/>
        <w:contextualSpacing/>
        <w:jc w:val="both"/>
        <w:rPr>
          <w:rFonts w:eastAsia="Calibri"/>
          <w:sz w:val="28"/>
          <w:szCs w:val="28"/>
        </w:rPr>
      </w:pPr>
      <w:r>
        <w:rPr>
          <w:rFonts w:eastAsia="Calibri"/>
          <w:sz w:val="28"/>
          <w:szCs w:val="28"/>
        </w:rPr>
        <w:t xml:space="preserve">Заезд, регистрация и размещение участников Турнира с 10.00 до 12.00 часов </w:t>
        <w:br/>
        <w:t xml:space="preserve">16 ноября 2024 года, с 13.30 часов – знакомство команд, жеребьёвка. Завершение Турнира и отъезд участников планируется после 16.00 часов 17 ноября 2024 года. </w:t>
      </w:r>
    </w:p>
    <w:p>
      <w:pPr>
        <w:pStyle w:val="Normal"/>
        <w:widowControl w:val="false"/>
        <w:ind w:firstLine="709"/>
        <w:jc w:val="both"/>
        <w:rPr>
          <w:rFonts w:eastAsia="Calibri"/>
          <w:sz w:val="28"/>
          <w:szCs w:val="28"/>
        </w:rPr>
      </w:pPr>
      <w:r>
        <w:rPr>
          <w:rFonts w:eastAsia="Calibri"/>
          <w:sz w:val="28"/>
          <w:szCs w:val="28"/>
        </w:rPr>
        <w:t>При заезде и размещении участникам Турнира при себе иметь следующие документы:</w:t>
      </w:r>
    </w:p>
    <w:p>
      <w:pPr>
        <w:pStyle w:val="Normal"/>
        <w:widowControl w:val="false"/>
        <w:ind w:right="20" w:firstLine="709"/>
        <w:jc w:val="both"/>
        <w:rPr>
          <w:rFonts w:eastAsia="Calibri"/>
          <w:sz w:val="28"/>
          <w:szCs w:val="28"/>
        </w:rPr>
      </w:pPr>
      <w:r>
        <w:rPr>
          <w:rFonts w:eastAsia="Calibri"/>
          <w:color w:val="000000"/>
          <w:sz w:val="28"/>
          <w:szCs w:val="28"/>
        </w:rPr>
        <w:t>приказ исполнительного комитета муниципального района Республики Татарстан, осуществляющего управление в сфере образования, о направлении группы обучающихся на Турнир в ГАОУ «РОЦ» под руководством конкретного педагога с возложением на него ответственности за жизнь и здоровье обучающихся</w:t>
      </w:r>
      <w:r>
        <w:rPr>
          <w:rFonts w:eastAsia="Calibri"/>
          <w:sz w:val="28"/>
          <w:szCs w:val="28"/>
        </w:rPr>
        <w:t xml:space="preserve"> во время проезда к месту назначения (на Турнир) и обратно;</w:t>
      </w:r>
    </w:p>
    <w:p>
      <w:pPr>
        <w:pStyle w:val="Normal"/>
        <w:widowControl w:val="false"/>
        <w:suppressAutoHyphens w:val="true"/>
        <w:ind w:firstLine="709"/>
        <w:jc w:val="both"/>
        <w:rPr>
          <w:rFonts w:eastAsia="Calibri"/>
          <w:color w:val="000000"/>
          <w:sz w:val="28"/>
          <w:szCs w:val="28"/>
        </w:rPr>
      </w:pPr>
      <w:r>
        <w:rPr>
          <w:rFonts w:eastAsia="Calibri"/>
          <w:color w:val="000000"/>
          <w:sz w:val="28"/>
          <w:szCs w:val="28"/>
        </w:rPr>
        <w:t>квитанцию об оплате организационного взноса;</w:t>
      </w:r>
    </w:p>
    <w:p>
      <w:pPr>
        <w:pStyle w:val="Normal"/>
        <w:widowControl w:val="false"/>
        <w:suppressAutoHyphens w:val="true"/>
        <w:ind w:firstLine="709"/>
        <w:jc w:val="both"/>
        <w:rPr>
          <w:color w:val="000000"/>
          <w:sz w:val="28"/>
          <w:szCs w:val="28"/>
        </w:rPr>
      </w:pPr>
      <w:r>
        <w:rPr>
          <w:rFonts w:eastAsia="Calibri"/>
          <w:color w:val="000000"/>
          <w:sz w:val="28"/>
          <w:szCs w:val="28"/>
          <w:lang w:val="en-US"/>
        </w:rPr>
        <w:t>c</w:t>
      </w:r>
      <w:r>
        <w:rPr>
          <w:rFonts w:eastAsia="Calibri"/>
          <w:color w:val="000000"/>
          <w:sz w:val="28"/>
          <w:szCs w:val="28"/>
        </w:rPr>
        <w:t>правку об отсутствии контакта с инфекционными больными по месту жительства и по месту учёбы не ранее, чем за 3 дня до отъезда</w:t>
      </w:r>
      <w:r>
        <w:rPr>
          <w:color w:val="000000"/>
          <w:sz w:val="28"/>
          <w:szCs w:val="28"/>
        </w:rPr>
        <w:t>;</w:t>
      </w:r>
    </w:p>
    <w:p>
      <w:pPr>
        <w:pStyle w:val="Normal"/>
        <w:widowControl w:val="false"/>
        <w:ind w:firstLine="709"/>
        <w:jc w:val="both"/>
        <w:rPr>
          <w:rFonts w:eastAsia="Calibri"/>
          <w:sz w:val="28"/>
          <w:szCs w:val="28"/>
        </w:rPr>
      </w:pPr>
      <w:r>
        <w:rPr>
          <w:rFonts w:eastAsia="Calibri"/>
          <w:color w:val="000000"/>
          <w:sz w:val="28"/>
          <w:szCs w:val="28"/>
        </w:rPr>
        <w:t>сезонную одежду, домашние тапочки для корпуса, средства гигиены и т.д.</w:t>
      </w:r>
    </w:p>
    <w:p>
      <w:pPr>
        <w:pStyle w:val="Normal"/>
        <w:widowControl w:val="false"/>
        <w:ind w:firstLine="709"/>
        <w:jc w:val="both"/>
        <w:rPr>
          <w:rFonts w:eastAsia="Calibri"/>
          <w:sz w:val="28"/>
          <w:szCs w:val="28"/>
        </w:rPr>
      </w:pPr>
      <w:r>
        <w:rPr>
          <w:rFonts w:eastAsia="Calibri"/>
          <w:sz w:val="28"/>
          <w:szCs w:val="28"/>
        </w:rPr>
        <w:t xml:space="preserve">Координатор Турнира – методист ГАОУ «РОЦ» Сафиуллина Гульназира Нафисовна, тел.: 89273536099, </w:t>
      </w:r>
      <w:r>
        <w:rPr>
          <w:rFonts w:eastAsia="Calibri"/>
          <w:sz w:val="28"/>
          <w:szCs w:val="28"/>
          <w:lang w:val="en-US"/>
        </w:rPr>
        <w:t>e</w:t>
      </w:r>
      <w:r>
        <w:rPr>
          <w:rFonts w:eastAsia="Calibri"/>
          <w:sz w:val="28"/>
          <w:szCs w:val="28"/>
        </w:rPr>
        <w:t>-</w:t>
      </w:r>
      <w:r>
        <w:rPr>
          <w:rFonts w:eastAsia="Calibri"/>
          <w:sz w:val="28"/>
          <w:szCs w:val="28"/>
          <w:lang w:val="en-US"/>
        </w:rPr>
        <w:t>mail</w:t>
      </w:r>
      <w:r>
        <w:rPr>
          <w:rFonts w:eastAsia="Calibri"/>
          <w:color w:val="000000" w:themeColor="text1"/>
          <w:sz w:val="28"/>
          <w:szCs w:val="28"/>
        </w:rPr>
        <w:t xml:space="preserve">: </w:t>
      </w:r>
      <w:hyperlink r:id="rId5">
        <w:r>
          <w:rPr>
            <w:rStyle w:val="-"/>
            <w:rFonts w:eastAsia="Calibri"/>
            <w:color w:val="000000" w:themeColor="text1"/>
            <w:sz w:val="28"/>
            <w:szCs w:val="28"/>
          </w:rPr>
          <w:t>saf.gulnazira@yandex.ru</w:t>
        </w:r>
      </w:hyperlink>
      <w:r>
        <w:rPr>
          <w:rFonts w:eastAsia="Calibri"/>
          <w:color w:val="000000" w:themeColor="text1"/>
          <w:sz w:val="28"/>
          <w:szCs w:val="28"/>
        </w:rPr>
        <w:t>.</w:t>
      </w:r>
    </w:p>
    <w:p>
      <w:pPr>
        <w:pStyle w:val="Normal"/>
        <w:widowControl w:val="false"/>
        <w:ind w:firstLine="709"/>
        <w:jc w:val="both"/>
        <w:rPr>
          <w:rFonts w:eastAsia="Calibri"/>
          <w:sz w:val="28"/>
          <w:szCs w:val="28"/>
          <w:lang w:eastAsia="en-US"/>
        </w:rPr>
      </w:pPr>
      <w:r>
        <w:rPr>
          <w:rFonts w:eastAsia="Calibri"/>
          <w:sz w:val="28"/>
          <w:szCs w:val="28"/>
          <w:lang w:eastAsia="en-US"/>
        </w:rPr>
        <w:t>Приложение: на 4 л. в 1 экз.</w:t>
      </w:r>
    </w:p>
    <w:p>
      <w:pPr>
        <w:pStyle w:val="Normal"/>
        <w:widowControl w:val="false"/>
        <w:jc w:val="both"/>
        <w:rPr>
          <w:rFonts w:ascii="Times New Roman CYR" w:hAnsi="Times New Roman CYR" w:eastAsia="Calibri" w:cs="Times New Roman CYR"/>
          <w:sz w:val="28"/>
          <w:szCs w:val="28"/>
          <w:lang w:eastAsia="en-US"/>
        </w:rPr>
      </w:pPr>
      <w:r>
        <w:rPr>
          <w:rFonts w:eastAsia="Calibri" w:cs="Times New Roman CYR" w:ascii="Times New Roman CYR" w:hAnsi="Times New Roman CYR"/>
          <w:sz w:val="28"/>
          <w:szCs w:val="28"/>
          <w:lang w:eastAsia="en-US"/>
        </w:rPr>
      </w:r>
    </w:p>
    <w:p>
      <w:pPr>
        <w:pStyle w:val="Normal"/>
        <w:spacing w:lineRule="auto" w:line="276" w:before="0" w:after="200"/>
        <w:rPr>
          <w:rFonts w:eastAsia="Calibri"/>
          <w:b/>
          <w:sz w:val="28"/>
          <w:szCs w:val="28"/>
          <w:lang w:eastAsia="en-US"/>
        </w:rPr>
      </w:pPr>
      <w:r>
        <w:rPr>
          <w:rFonts w:eastAsia="Calibri"/>
          <w:b/>
          <w:sz w:val="28"/>
          <w:szCs w:val="28"/>
          <w:lang w:eastAsia="en-US"/>
        </w:rPr>
        <w:t>Директор                                                                                                       Г.И.Исламова</w:t>
      </w:r>
    </w:p>
    <w:p>
      <w:pPr>
        <w:pStyle w:val="Normal"/>
        <w:rPr>
          <w:rFonts w:eastAsia="Calibri"/>
          <w:sz w:val="24"/>
          <w:szCs w:val="28"/>
          <w:lang w:eastAsia="en-US"/>
        </w:rPr>
      </w:pPr>
      <w:r>
        <w:rPr>
          <w:rFonts w:eastAsia="Calibri"/>
          <w:sz w:val="24"/>
          <w:szCs w:val="28"/>
          <w:lang w:eastAsia="en-US"/>
        </w:rPr>
        <w:t xml:space="preserve">Г.Н.Сафиуллина, </w:t>
      </w:r>
    </w:p>
    <w:p>
      <w:pPr>
        <w:pStyle w:val="Normal"/>
        <w:rPr>
          <w:rFonts w:eastAsia="Calibri"/>
          <w:sz w:val="24"/>
          <w:szCs w:val="28"/>
          <w:lang w:eastAsia="en-US"/>
        </w:rPr>
      </w:pPr>
      <w:r>
        <w:rPr>
          <w:rFonts w:eastAsia="Calibri"/>
          <w:sz w:val="24"/>
          <w:szCs w:val="28"/>
          <w:lang w:eastAsia="en-US"/>
        </w:rPr>
        <w:t>89273536099</w:t>
      </w:r>
    </w:p>
    <w:p>
      <w:pPr>
        <w:pStyle w:val="Normal"/>
        <w:suppressAutoHyphens w:val="true"/>
        <w:spacing w:lineRule="atLeast" w:line="100"/>
        <w:ind w:firstLine="709"/>
        <w:jc w:val="center"/>
        <w:rPr>
          <w:bCs/>
          <w:color w:val="000000"/>
          <w:kern w:val="2"/>
          <w:sz w:val="28"/>
          <w:szCs w:val="28"/>
          <w:lang w:eastAsia="ar-SA"/>
        </w:rPr>
      </w:pPr>
      <w:r>
        <w:rPr>
          <w:bCs/>
          <w:color w:val="000000"/>
          <w:kern w:val="2"/>
          <w:sz w:val="28"/>
          <w:szCs w:val="28"/>
          <w:lang w:eastAsia="ar-SA"/>
        </w:rPr>
        <w:t>Задания Х республиканского химического турнира Татарстана</w:t>
      </w:r>
    </w:p>
    <w:p>
      <w:pPr>
        <w:pStyle w:val="Normal"/>
        <w:suppressAutoHyphens w:val="true"/>
        <w:spacing w:lineRule="atLeast" w:line="100"/>
        <w:ind w:firstLine="709"/>
        <w:jc w:val="center"/>
        <w:rPr>
          <w:bCs/>
          <w:color w:val="000000"/>
          <w:kern w:val="2"/>
          <w:sz w:val="28"/>
          <w:szCs w:val="28"/>
          <w:lang w:eastAsia="ar-SA"/>
        </w:rPr>
      </w:pPr>
      <w:r>
        <w:rPr>
          <w:bCs/>
          <w:color w:val="000000"/>
          <w:kern w:val="2"/>
          <w:sz w:val="28"/>
          <w:szCs w:val="28"/>
          <w:lang w:eastAsia="ar-SA"/>
        </w:rPr>
      </w:r>
    </w:p>
    <w:p>
      <w:pPr>
        <w:pStyle w:val="Normal"/>
        <w:suppressAutoHyphens w:val="true"/>
        <w:spacing w:lineRule="atLeast" w:line="100"/>
        <w:ind w:firstLine="709"/>
        <w:jc w:val="both"/>
        <w:rPr>
          <w:bCs/>
          <w:color w:val="000000"/>
          <w:kern w:val="2"/>
          <w:sz w:val="28"/>
          <w:szCs w:val="28"/>
          <w:lang w:eastAsia="ar-SA"/>
        </w:rPr>
      </w:pPr>
      <w:r>
        <w:rPr>
          <w:bCs/>
          <w:color w:val="000000"/>
          <w:kern w:val="2"/>
          <w:sz w:val="28"/>
          <w:szCs w:val="28"/>
          <w:lang w:eastAsia="ar-SA"/>
        </w:rPr>
        <w:t>Задача 1.</w:t>
      </w:r>
      <w:r>
        <w:rPr>
          <w:b/>
          <w:bCs/>
          <w:color w:val="000000"/>
          <w:kern w:val="2"/>
          <w:sz w:val="28"/>
          <w:szCs w:val="28"/>
          <w:lang w:eastAsia="ar-SA"/>
        </w:rPr>
        <w:t xml:space="preserve"> В тихом омуте</w:t>
      </w:r>
    </w:p>
    <w:p>
      <w:pPr>
        <w:pStyle w:val="Normal"/>
        <w:suppressAutoHyphens w:val="true"/>
        <w:spacing w:lineRule="atLeast" w:line="100"/>
        <w:ind w:firstLine="709"/>
        <w:jc w:val="both"/>
        <w:rPr>
          <w:bCs/>
          <w:color w:val="000000"/>
          <w:kern w:val="2"/>
          <w:sz w:val="28"/>
          <w:szCs w:val="28"/>
          <w:lang w:eastAsia="ar-SA"/>
        </w:rPr>
      </w:pPr>
      <w:r>
        <w:rPr>
          <w:bCs/>
          <w:color w:val="000000"/>
          <w:kern w:val="2"/>
          <w:sz w:val="28"/>
          <w:szCs w:val="28"/>
          <w:lang w:eastAsia="ar-SA"/>
        </w:rPr>
      </w:r>
    </w:p>
    <w:p>
      <w:pPr>
        <w:pStyle w:val="Normal"/>
        <w:suppressAutoHyphens w:val="true"/>
        <w:spacing w:lineRule="atLeast" w:line="100"/>
        <w:ind w:firstLine="709"/>
        <w:jc w:val="both"/>
        <w:rPr>
          <w:bCs/>
          <w:color w:val="000000"/>
          <w:kern w:val="2"/>
          <w:sz w:val="28"/>
          <w:szCs w:val="28"/>
          <w:lang w:eastAsia="ar-SA"/>
        </w:rPr>
      </w:pPr>
      <w:r>
        <w:rPr>
          <w:bCs/>
          <w:color w:val="000000"/>
          <w:kern w:val="2"/>
          <w:sz w:val="28"/>
          <w:szCs w:val="28"/>
          <w:lang w:eastAsia="ar-SA"/>
        </w:rPr>
        <w:t xml:space="preserve">Некоторые (даже самые токсичные!) соединения активно используются человечеством: </w:t>
      </w:r>
      <w:r>
        <w:rPr>
          <w:b/>
          <w:bCs/>
          <w:color w:val="000000"/>
          <w:kern w:val="2"/>
          <w:sz w:val="28"/>
          <w:szCs w:val="28"/>
          <w:lang w:eastAsia="ar-SA"/>
        </w:rPr>
        <w:t>свинец</w:t>
      </w:r>
      <w:r>
        <w:rPr>
          <w:bCs/>
          <w:color w:val="000000"/>
          <w:kern w:val="2"/>
          <w:sz w:val="28"/>
          <w:szCs w:val="28"/>
          <w:lang w:eastAsia="ar-SA"/>
        </w:rPr>
        <w:t xml:space="preserve"> содержится в аккумуляторах, </w:t>
      </w:r>
      <w:r>
        <w:rPr>
          <w:b/>
          <w:bCs/>
          <w:color w:val="000000"/>
          <w:kern w:val="2"/>
          <w:sz w:val="28"/>
          <w:szCs w:val="28"/>
          <w:lang w:eastAsia="ar-SA"/>
        </w:rPr>
        <w:t>ртуть</w:t>
      </w:r>
      <w:r>
        <w:rPr>
          <w:bCs/>
          <w:color w:val="000000"/>
          <w:kern w:val="2"/>
          <w:sz w:val="28"/>
          <w:szCs w:val="28"/>
          <w:lang w:eastAsia="ar-SA"/>
        </w:rPr>
        <w:t xml:space="preserve"> используется для термометров, </w:t>
      </w:r>
      <w:r>
        <w:rPr>
          <w:b/>
          <w:bCs/>
          <w:color w:val="000000"/>
          <w:kern w:val="2"/>
          <w:sz w:val="28"/>
          <w:szCs w:val="28"/>
          <w:lang w:eastAsia="ar-SA"/>
        </w:rPr>
        <w:t>мышьяк</w:t>
      </w:r>
      <w:r>
        <w:rPr>
          <w:bCs/>
          <w:color w:val="000000"/>
          <w:kern w:val="2"/>
          <w:sz w:val="28"/>
          <w:szCs w:val="28"/>
          <w:lang w:eastAsia="ar-SA"/>
        </w:rPr>
        <w:t xml:space="preserve"> содержится в пестицидах и консервантах для древесины, </w:t>
      </w:r>
      <w:r>
        <w:rPr>
          <w:b/>
          <w:bCs/>
          <w:color w:val="000000"/>
          <w:kern w:val="2"/>
          <w:sz w:val="28"/>
          <w:szCs w:val="28"/>
          <w:lang w:eastAsia="ar-SA"/>
        </w:rPr>
        <w:t>цианиды</w:t>
      </w:r>
      <w:r>
        <w:rPr>
          <w:bCs/>
          <w:color w:val="000000"/>
          <w:kern w:val="2"/>
          <w:sz w:val="28"/>
          <w:szCs w:val="28"/>
          <w:lang w:eastAsia="ar-SA"/>
        </w:rPr>
        <w:t xml:space="preserve"> могут содержаться в некоторых пестицидах и родентицидах, а </w:t>
      </w:r>
      <w:r>
        <w:rPr>
          <w:b/>
          <w:bCs/>
          <w:color w:val="000000"/>
          <w:kern w:val="2"/>
          <w:sz w:val="28"/>
          <w:szCs w:val="28"/>
          <w:lang w:eastAsia="ar-SA"/>
        </w:rPr>
        <w:t>кадмий</w:t>
      </w:r>
      <w:r>
        <w:rPr>
          <w:bCs/>
          <w:color w:val="000000"/>
          <w:kern w:val="2"/>
          <w:sz w:val="28"/>
          <w:szCs w:val="28"/>
          <w:lang w:eastAsia="ar-SA"/>
        </w:rPr>
        <w:t xml:space="preserve"> входит в состав некоторых пластмасс и пигментов. Так или иначе, перечисленные загрязнители могут попадать в окружающую среду, а именно в различные водоемы.</w:t>
      </w:r>
    </w:p>
    <w:p>
      <w:pPr>
        <w:pStyle w:val="Normal"/>
        <w:suppressAutoHyphens w:val="true"/>
        <w:spacing w:lineRule="atLeast" w:line="100"/>
        <w:ind w:firstLine="709"/>
        <w:jc w:val="both"/>
        <w:rPr>
          <w:bCs/>
          <w:color w:val="000000"/>
          <w:kern w:val="2"/>
          <w:sz w:val="28"/>
          <w:szCs w:val="28"/>
          <w:lang w:eastAsia="ar-SA"/>
        </w:rPr>
      </w:pPr>
      <w:r>
        <w:rPr>
          <w:bCs/>
          <w:color w:val="000000"/>
          <w:kern w:val="2"/>
          <w:sz w:val="28"/>
          <w:szCs w:val="28"/>
          <w:lang w:eastAsia="ar-SA"/>
        </w:rPr>
        <w:t xml:space="preserve">Предложите методы качественного и количественного определения </w:t>
      </w:r>
      <w:r>
        <w:rPr>
          <w:b/>
          <w:bCs/>
          <w:color w:val="000000"/>
          <w:kern w:val="2"/>
          <w:sz w:val="28"/>
          <w:szCs w:val="28"/>
          <w:lang w:eastAsia="ar-SA"/>
        </w:rPr>
        <w:t>двух</w:t>
      </w:r>
      <w:r>
        <w:rPr>
          <w:bCs/>
          <w:color w:val="000000"/>
          <w:kern w:val="2"/>
          <w:sz w:val="28"/>
          <w:szCs w:val="28"/>
          <w:lang w:eastAsia="ar-SA"/>
        </w:rPr>
        <w:t xml:space="preserve"> из перечисленных загрязнителей </w:t>
      </w:r>
      <w:r>
        <w:rPr>
          <w:b/>
          <w:bCs/>
          <w:color w:val="000000"/>
          <w:kern w:val="2"/>
          <w:sz w:val="28"/>
          <w:szCs w:val="28"/>
          <w:lang w:eastAsia="ar-SA"/>
        </w:rPr>
        <w:t>при их совместном присутствии</w:t>
      </w:r>
      <w:r>
        <w:rPr>
          <w:bCs/>
          <w:color w:val="000000"/>
          <w:kern w:val="2"/>
          <w:sz w:val="28"/>
          <w:szCs w:val="28"/>
          <w:lang w:eastAsia="ar-SA"/>
        </w:rPr>
        <w:t xml:space="preserve">. Ваш метод </w:t>
      </w:r>
      <w:r>
        <w:rPr>
          <w:b/>
          <w:bCs/>
          <w:color w:val="000000"/>
          <w:kern w:val="2"/>
          <w:sz w:val="28"/>
          <w:szCs w:val="28"/>
          <w:lang w:eastAsia="ar-SA"/>
        </w:rPr>
        <w:t>не должен</w:t>
      </w:r>
      <w:r>
        <w:rPr>
          <w:bCs/>
          <w:color w:val="000000"/>
          <w:kern w:val="2"/>
          <w:sz w:val="28"/>
          <w:szCs w:val="28"/>
          <w:lang w:eastAsia="ar-SA"/>
        </w:rPr>
        <w:t xml:space="preserve"> содержать стадий инструментального определения содержания того или иного вещества (т.е. фотометрию и др.). В решении приведите подробную схему пробоподготовки, методику анализа и оценку погрешности определения.</w:t>
      </w:r>
    </w:p>
    <w:p>
      <w:pPr>
        <w:pStyle w:val="Normal"/>
        <w:suppressAutoHyphens w:val="true"/>
        <w:spacing w:lineRule="atLeast" w:line="100"/>
        <w:ind w:firstLine="709"/>
        <w:jc w:val="both"/>
        <w:rPr>
          <w:bCs/>
          <w:color w:val="000000"/>
          <w:kern w:val="2"/>
          <w:sz w:val="28"/>
          <w:szCs w:val="28"/>
          <w:lang w:eastAsia="ar-SA"/>
        </w:rPr>
      </w:pPr>
      <w:r>
        <w:rPr>
          <w:bCs/>
          <w:color w:val="000000"/>
          <w:kern w:val="2"/>
          <w:sz w:val="28"/>
          <w:szCs w:val="28"/>
          <w:lang w:eastAsia="ar-SA"/>
        </w:rPr>
      </w:r>
    </w:p>
    <w:p>
      <w:pPr>
        <w:pStyle w:val="Normal"/>
        <w:suppressAutoHyphens w:val="true"/>
        <w:spacing w:lineRule="atLeast" w:line="100"/>
        <w:ind w:firstLine="709"/>
        <w:jc w:val="both"/>
        <w:rPr>
          <w:bCs/>
          <w:color w:val="000000"/>
          <w:kern w:val="2"/>
          <w:sz w:val="28"/>
          <w:szCs w:val="28"/>
          <w:lang w:eastAsia="ar-SA"/>
        </w:rPr>
      </w:pPr>
      <w:r>
        <w:rPr>
          <w:bCs/>
          <w:color w:val="000000"/>
          <w:kern w:val="2"/>
          <w:sz w:val="28"/>
          <w:szCs w:val="28"/>
          <w:lang w:eastAsia="ar-SA"/>
        </w:rPr>
        <w:t xml:space="preserve">Задача 2. </w:t>
      </w:r>
      <w:r>
        <w:rPr>
          <w:b/>
          <w:bCs/>
          <w:color w:val="000000"/>
          <w:kern w:val="2"/>
          <w:sz w:val="28"/>
          <w:szCs w:val="28"/>
          <w:lang w:eastAsia="ar-SA"/>
        </w:rPr>
        <w:t>Высокоплотные растворы</w:t>
      </w:r>
    </w:p>
    <w:p>
      <w:pPr>
        <w:pStyle w:val="Normal"/>
        <w:suppressAutoHyphens w:val="true"/>
        <w:spacing w:lineRule="atLeast" w:line="100"/>
        <w:ind w:firstLine="709"/>
        <w:jc w:val="both"/>
        <w:rPr>
          <w:bCs/>
          <w:color w:val="000000"/>
          <w:kern w:val="2"/>
          <w:sz w:val="28"/>
          <w:szCs w:val="28"/>
          <w:lang w:eastAsia="ar-SA"/>
        </w:rPr>
      </w:pPr>
      <w:r>
        <w:rPr>
          <w:bCs/>
          <w:color w:val="000000"/>
          <w:kern w:val="2"/>
          <w:sz w:val="28"/>
          <w:szCs w:val="28"/>
          <w:lang w:eastAsia="ar-SA"/>
        </w:rPr>
      </w:r>
    </w:p>
    <w:p>
      <w:pPr>
        <w:pStyle w:val="Normal"/>
        <w:suppressAutoHyphens w:val="true"/>
        <w:spacing w:lineRule="atLeast" w:line="100"/>
        <w:ind w:firstLine="709"/>
        <w:jc w:val="both"/>
        <w:rPr>
          <w:bCs/>
          <w:color w:val="000000"/>
          <w:kern w:val="2"/>
          <w:sz w:val="28"/>
          <w:szCs w:val="28"/>
          <w:lang w:eastAsia="ar-SA"/>
        </w:rPr>
      </w:pPr>
      <w:r>
        <w:rPr>
          <w:bCs/>
          <w:color w:val="000000"/>
          <w:kern w:val="2"/>
          <w:sz w:val="28"/>
          <w:szCs w:val="28"/>
          <w:lang w:eastAsia="ar-SA"/>
        </w:rPr>
        <w:t>Растворы Клеричи – один из наиболее плотных водных растворов (5 г/мл – плотность насыщенного раствора при 90°</w:t>
      </w:r>
      <w:r>
        <w:rPr>
          <w:bCs/>
          <w:color w:val="000000"/>
          <w:kern w:val="2"/>
          <w:sz w:val="28"/>
          <w:szCs w:val="28"/>
          <w:lang w:val="en-US" w:eastAsia="ar-SA"/>
        </w:rPr>
        <w:t>C</w:t>
      </w:r>
      <w:r>
        <w:rPr>
          <w:bCs/>
          <w:color w:val="000000"/>
          <w:kern w:val="2"/>
          <w:sz w:val="28"/>
          <w:szCs w:val="28"/>
          <w:lang w:eastAsia="ar-SA"/>
        </w:rPr>
        <w:t>). Это его свойство используется в минералогии для определения плотностей минералов. Исследуемый образец помещается в раствор, который затем разбавляется водой до тех пор, пока образец не начнет тонуть. Плотность полученного раствора определяется рефрактометрически.</w:t>
      </w:r>
    </w:p>
    <w:p>
      <w:pPr>
        <w:pStyle w:val="Normal"/>
        <w:suppressAutoHyphens w:val="true"/>
        <w:spacing w:lineRule="atLeast" w:line="100"/>
        <w:ind w:firstLine="709"/>
        <w:jc w:val="both"/>
        <w:rPr>
          <w:bCs/>
          <w:color w:val="000000"/>
          <w:kern w:val="2"/>
          <w:sz w:val="28"/>
          <w:szCs w:val="28"/>
          <w:lang w:eastAsia="ar-SA"/>
        </w:rPr>
      </w:pPr>
      <w:r>
        <w:rPr>
          <w:bCs/>
          <w:color w:val="000000"/>
          <w:kern w:val="2"/>
          <w:sz w:val="28"/>
          <w:szCs w:val="28"/>
          <w:lang w:eastAsia="ar-SA"/>
        </w:rPr>
        <w:t xml:space="preserve">Однако у раствора Клеричи есть существенный недостаток – он высокотоксичен. Предложите ему </w:t>
      </w:r>
      <w:r>
        <w:rPr>
          <w:b/>
          <w:bCs/>
          <w:color w:val="000000"/>
          <w:kern w:val="2"/>
          <w:sz w:val="28"/>
          <w:szCs w:val="28"/>
          <w:lang w:eastAsia="ar-SA"/>
        </w:rPr>
        <w:t>безопасную</w:t>
      </w:r>
      <w:r>
        <w:rPr>
          <w:bCs/>
          <w:color w:val="000000"/>
          <w:kern w:val="2"/>
          <w:sz w:val="28"/>
          <w:szCs w:val="28"/>
          <w:lang w:eastAsia="ar-SA"/>
        </w:rPr>
        <w:t xml:space="preserve"> альтернативу. Образцы какой </w:t>
      </w:r>
      <w:r>
        <w:rPr>
          <w:b/>
          <w:bCs/>
          <w:color w:val="000000"/>
          <w:kern w:val="2"/>
          <w:sz w:val="28"/>
          <w:szCs w:val="28"/>
          <w:lang w:eastAsia="ar-SA"/>
        </w:rPr>
        <w:t>наибольшей плотности</w:t>
      </w:r>
      <w:r>
        <w:rPr>
          <w:bCs/>
          <w:color w:val="000000"/>
          <w:kern w:val="2"/>
          <w:sz w:val="28"/>
          <w:szCs w:val="28"/>
          <w:lang w:eastAsia="ar-SA"/>
        </w:rPr>
        <w:t xml:space="preserve"> могут быть изучены при помощи вашего раствора? Какие именно минералы удастся исследовать? Опишите другие преимущества и недостатки вашего раствора по сравнению с раствором Клеричи.</w:t>
      </w:r>
    </w:p>
    <w:p>
      <w:pPr>
        <w:pStyle w:val="Normal"/>
        <w:suppressAutoHyphens w:val="true"/>
        <w:spacing w:lineRule="atLeast" w:line="100"/>
        <w:ind w:firstLine="709"/>
        <w:jc w:val="both"/>
        <w:rPr>
          <w:bCs/>
          <w:color w:val="000000"/>
          <w:kern w:val="2"/>
          <w:sz w:val="28"/>
          <w:szCs w:val="28"/>
          <w:lang w:eastAsia="ar-SA"/>
        </w:rPr>
      </w:pPr>
      <w:r>
        <w:rPr>
          <w:bCs/>
          <w:color w:val="000000"/>
          <w:kern w:val="2"/>
          <w:sz w:val="28"/>
          <w:szCs w:val="28"/>
          <w:lang w:eastAsia="ar-SA"/>
        </w:rPr>
      </w:r>
    </w:p>
    <w:p>
      <w:pPr>
        <w:pStyle w:val="Normal"/>
        <w:suppressAutoHyphens w:val="true"/>
        <w:spacing w:lineRule="atLeast" w:line="100"/>
        <w:ind w:firstLine="709"/>
        <w:jc w:val="both"/>
        <w:rPr>
          <w:bCs/>
          <w:color w:val="000000"/>
          <w:kern w:val="2"/>
          <w:sz w:val="28"/>
          <w:szCs w:val="28"/>
          <w:lang w:eastAsia="ar-SA"/>
        </w:rPr>
      </w:pPr>
      <w:r>
        <w:rPr>
          <w:bCs/>
          <w:color w:val="000000"/>
          <w:kern w:val="2"/>
          <w:sz w:val="28"/>
          <w:szCs w:val="28"/>
          <w:lang w:eastAsia="ar-SA"/>
        </w:rPr>
        <w:t xml:space="preserve">Задача 3. </w:t>
      </w:r>
      <w:r>
        <w:rPr>
          <w:b/>
          <w:bCs/>
          <w:color w:val="000000"/>
          <w:kern w:val="2"/>
          <w:sz w:val="28"/>
          <w:szCs w:val="28"/>
          <w:lang w:eastAsia="ar-SA"/>
        </w:rPr>
        <w:t>Какие подводные?</w:t>
      </w:r>
    </w:p>
    <w:p>
      <w:pPr>
        <w:pStyle w:val="Normal"/>
        <w:suppressAutoHyphens w:val="true"/>
        <w:spacing w:lineRule="atLeast" w:line="100"/>
        <w:ind w:firstLine="709"/>
        <w:jc w:val="both"/>
        <w:rPr>
          <w:bCs/>
          <w:color w:val="000000"/>
          <w:kern w:val="2"/>
          <w:sz w:val="28"/>
          <w:szCs w:val="28"/>
          <w:lang w:eastAsia="ar-SA"/>
        </w:rPr>
      </w:pPr>
      <w:r>
        <w:rPr>
          <w:bCs/>
          <w:color w:val="000000"/>
          <w:kern w:val="2"/>
          <w:sz w:val="28"/>
          <w:szCs w:val="28"/>
          <w:lang w:eastAsia="ar-SA"/>
        </w:rPr>
      </w:r>
    </w:p>
    <w:p>
      <w:pPr>
        <w:pStyle w:val="Normal"/>
        <w:suppressAutoHyphens w:val="true"/>
        <w:spacing w:lineRule="atLeast" w:line="100"/>
        <w:ind w:firstLine="709"/>
        <w:jc w:val="both"/>
        <w:rPr>
          <w:bCs/>
          <w:color w:val="000000"/>
          <w:kern w:val="2"/>
          <w:sz w:val="28"/>
          <w:szCs w:val="28"/>
          <w:lang w:eastAsia="ar-SA"/>
        </w:rPr>
      </w:pPr>
      <w:r>
        <w:rPr>
          <w:bCs/>
          <w:color w:val="000000"/>
          <w:kern w:val="2"/>
          <w:sz w:val="28"/>
          <w:szCs w:val="28"/>
          <w:lang w:eastAsia="ar-SA"/>
        </w:rPr>
        <w:t xml:space="preserve">Поиск альтернативных источников сырья для получения черных и цветных металлов является важной задачей для человечества, так как использование рудных источников наносит большой вред экологии. Людям давно известны железномарганцевые конкреции и металлоносные илы, являющиеся перспективным источником множества металлов. </w:t>
      </w:r>
    </w:p>
    <w:p>
      <w:pPr>
        <w:pStyle w:val="Normal"/>
        <w:suppressAutoHyphens w:val="true"/>
        <w:spacing w:lineRule="atLeast" w:line="100"/>
        <w:ind w:firstLine="709"/>
        <w:jc w:val="both"/>
        <w:rPr>
          <w:bCs/>
          <w:color w:val="000000"/>
          <w:kern w:val="2"/>
          <w:sz w:val="28"/>
          <w:szCs w:val="28"/>
          <w:lang w:eastAsia="ar-SA"/>
        </w:rPr>
      </w:pPr>
      <w:r>
        <w:rPr>
          <w:bCs/>
          <w:color w:val="000000"/>
          <w:kern w:val="2"/>
          <w:sz w:val="28"/>
          <w:szCs w:val="28"/>
          <w:lang w:eastAsia="ar-SA"/>
        </w:rPr>
        <w:t xml:space="preserve">Вам предлагается предложить </w:t>
      </w:r>
      <w:r>
        <w:rPr>
          <w:b/>
          <w:bCs/>
          <w:color w:val="000000"/>
          <w:kern w:val="2"/>
          <w:sz w:val="28"/>
          <w:szCs w:val="28"/>
          <w:lang w:eastAsia="ar-SA"/>
        </w:rPr>
        <w:t>способ выделения</w:t>
      </w:r>
      <w:r>
        <w:rPr>
          <w:bCs/>
          <w:color w:val="000000"/>
          <w:kern w:val="2"/>
          <w:sz w:val="28"/>
          <w:szCs w:val="28"/>
          <w:lang w:eastAsia="ar-SA"/>
        </w:rPr>
        <w:t xml:space="preserve"> из существующих конкреций или илов тех металлов, которых в составе больше всего по массе, в виде </w:t>
      </w:r>
      <w:r>
        <w:rPr>
          <w:b/>
          <w:bCs/>
          <w:color w:val="000000"/>
          <w:kern w:val="2"/>
          <w:sz w:val="28"/>
          <w:szCs w:val="28"/>
          <w:lang w:eastAsia="ar-SA"/>
        </w:rPr>
        <w:t>простых веществ</w:t>
      </w:r>
      <w:r>
        <w:rPr>
          <w:bCs/>
          <w:color w:val="000000"/>
          <w:kern w:val="2"/>
          <w:sz w:val="28"/>
          <w:szCs w:val="28"/>
          <w:lang w:eastAsia="ar-SA"/>
        </w:rPr>
        <w:t xml:space="preserve"> или </w:t>
      </w:r>
      <w:r>
        <w:rPr>
          <w:b/>
          <w:bCs/>
          <w:color w:val="000000"/>
          <w:kern w:val="2"/>
          <w:sz w:val="28"/>
          <w:szCs w:val="28"/>
          <w:lang w:eastAsia="ar-SA"/>
        </w:rPr>
        <w:t>твёрдых солей</w:t>
      </w:r>
      <w:r>
        <w:rPr>
          <w:bCs/>
          <w:color w:val="000000"/>
          <w:kern w:val="2"/>
          <w:sz w:val="28"/>
          <w:szCs w:val="28"/>
          <w:lang w:eastAsia="ar-SA"/>
        </w:rPr>
        <w:t xml:space="preserve">. Приведите химические процессы, описание </w:t>
      </w:r>
      <w:r>
        <w:rPr>
          <w:b/>
          <w:bCs/>
          <w:color w:val="000000"/>
          <w:kern w:val="2"/>
          <w:sz w:val="28"/>
          <w:szCs w:val="28"/>
          <w:lang w:eastAsia="ar-SA"/>
        </w:rPr>
        <w:t>оборудования и реагентов</w:t>
      </w:r>
      <w:r>
        <w:rPr>
          <w:bCs/>
          <w:color w:val="000000"/>
          <w:kern w:val="2"/>
          <w:sz w:val="28"/>
          <w:szCs w:val="28"/>
          <w:lang w:eastAsia="ar-SA"/>
        </w:rPr>
        <w:t>, необходимых для них, а также предложите условия протекания рассматриваемых процессов.</w:t>
      </w:r>
    </w:p>
    <w:p>
      <w:pPr>
        <w:pStyle w:val="Normal"/>
        <w:suppressAutoHyphens w:val="true"/>
        <w:spacing w:lineRule="atLeast" w:line="100"/>
        <w:ind w:firstLine="709"/>
        <w:jc w:val="both"/>
        <w:rPr>
          <w:bCs/>
          <w:color w:val="000000"/>
          <w:kern w:val="2"/>
          <w:sz w:val="28"/>
          <w:szCs w:val="28"/>
          <w:lang w:eastAsia="ar-SA"/>
        </w:rPr>
      </w:pPr>
      <w:r>
        <w:rPr>
          <w:bCs/>
          <w:color w:val="000000"/>
          <w:kern w:val="2"/>
          <w:sz w:val="28"/>
          <w:szCs w:val="28"/>
          <w:lang w:eastAsia="ar-SA"/>
        </w:rPr>
        <w:t xml:space="preserve">Оцените </w:t>
      </w:r>
      <w:r>
        <w:rPr>
          <w:b/>
          <w:bCs/>
          <w:color w:val="000000"/>
          <w:kern w:val="2"/>
          <w:sz w:val="28"/>
          <w:szCs w:val="28"/>
          <w:lang w:eastAsia="ar-SA"/>
        </w:rPr>
        <w:t>эффективность</w:t>
      </w:r>
      <w:r>
        <w:rPr>
          <w:bCs/>
          <w:color w:val="000000"/>
          <w:kern w:val="2"/>
          <w:sz w:val="28"/>
          <w:szCs w:val="28"/>
          <w:lang w:eastAsia="ar-SA"/>
        </w:rPr>
        <w:t xml:space="preserve"> использования сырья и предполагаемое количество образующихся отходов при переработке 1 т сырья в год.</w:t>
      </w:r>
    </w:p>
    <w:p>
      <w:pPr>
        <w:pStyle w:val="Normal"/>
        <w:suppressAutoHyphens w:val="true"/>
        <w:spacing w:lineRule="atLeast" w:line="100"/>
        <w:ind w:firstLine="709"/>
        <w:jc w:val="both"/>
        <w:rPr>
          <w:b/>
          <w:bCs/>
          <w:color w:val="000000"/>
          <w:kern w:val="2"/>
          <w:sz w:val="28"/>
          <w:szCs w:val="28"/>
          <w:lang w:eastAsia="ar-SA"/>
        </w:rPr>
      </w:pPr>
      <w:r>
        <w:rPr>
          <w:bCs/>
          <w:color w:val="000000"/>
          <w:kern w:val="2"/>
          <w:sz w:val="28"/>
          <w:szCs w:val="28"/>
          <w:lang w:eastAsia="ar-SA"/>
        </w:rPr>
        <w:t xml:space="preserve">Задача 4. </w:t>
      </w:r>
      <w:r>
        <w:rPr>
          <w:b/>
          <w:bCs/>
          <w:color w:val="000000"/>
          <w:kern w:val="2"/>
          <w:sz w:val="28"/>
          <w:szCs w:val="28"/>
          <w:lang w:eastAsia="ar-SA"/>
        </w:rPr>
        <w:t>Изобутанол в качестве биотоплива</w:t>
      </w:r>
    </w:p>
    <w:p>
      <w:pPr>
        <w:pStyle w:val="Normal"/>
        <w:suppressAutoHyphens w:val="true"/>
        <w:spacing w:lineRule="atLeast" w:line="100"/>
        <w:ind w:firstLine="709"/>
        <w:jc w:val="both"/>
        <w:rPr>
          <w:bCs/>
          <w:color w:val="000000"/>
          <w:kern w:val="2"/>
          <w:sz w:val="28"/>
          <w:szCs w:val="28"/>
          <w:lang w:eastAsia="ar-SA"/>
        </w:rPr>
      </w:pPr>
      <w:r>
        <w:rPr>
          <w:bCs/>
          <w:color w:val="000000"/>
          <w:kern w:val="2"/>
          <w:sz w:val="28"/>
          <w:szCs w:val="28"/>
          <w:lang w:eastAsia="ar-SA"/>
        </w:rPr>
      </w:r>
    </w:p>
    <w:p>
      <w:pPr>
        <w:pStyle w:val="Normal"/>
        <w:suppressAutoHyphens w:val="true"/>
        <w:spacing w:lineRule="atLeast" w:line="100"/>
        <w:ind w:firstLine="709"/>
        <w:jc w:val="both"/>
        <w:rPr>
          <w:bCs/>
          <w:color w:val="000000"/>
          <w:kern w:val="2"/>
          <w:sz w:val="28"/>
          <w:szCs w:val="28"/>
          <w:lang w:eastAsia="ar-SA"/>
        </w:rPr>
      </w:pPr>
      <w:r>
        <w:rPr>
          <w:bCs/>
          <w:color w:val="000000"/>
          <w:kern w:val="2"/>
          <w:sz w:val="28"/>
          <w:szCs w:val="28"/>
          <w:lang w:eastAsia="ar-SA"/>
        </w:rPr>
        <w:t>Создание возобновляемых источников топлива является актуальной проблемой современности. Биотехнологи исследуют различные варианты биотоплив, в частности изобутанол, ведь его можно сжигать в двигателях для обычного газа. Путь синтеза изобутанола из пирувата (путь Эрлиха), присутствует у некоторых грибов.</w:t>
      </w:r>
    </w:p>
    <w:p>
      <w:pPr>
        <w:pStyle w:val="Normal"/>
        <w:suppressAutoHyphens w:val="true"/>
        <w:spacing w:lineRule="atLeast" w:line="100"/>
        <w:ind w:firstLine="709"/>
        <w:jc w:val="center"/>
        <w:rPr>
          <w:bCs/>
          <w:color w:val="000000"/>
          <w:kern w:val="2"/>
          <w:sz w:val="28"/>
          <w:szCs w:val="28"/>
          <w:lang w:eastAsia="ar-SA"/>
        </w:rPr>
      </w:pPr>
      <w:r>
        <w:rPr/>
        <w:drawing>
          <wp:inline distT="0" distB="0" distL="0" distR="0">
            <wp:extent cx="6191885" cy="781050"/>
            <wp:effectExtent l="0" t="0" r="0" b="0"/>
            <wp:docPr id="2"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
                    <pic:cNvPicPr>
                      <a:picLocks noChangeAspect="1" noChangeArrowheads="1"/>
                    </pic:cNvPicPr>
                  </pic:nvPicPr>
                  <pic:blipFill>
                    <a:blip r:embed="rId6"/>
                    <a:stretch>
                      <a:fillRect/>
                    </a:stretch>
                  </pic:blipFill>
                  <pic:spPr bwMode="auto">
                    <a:xfrm>
                      <a:off x="0" y="0"/>
                      <a:ext cx="6191885" cy="781050"/>
                    </a:xfrm>
                    <a:prstGeom prst="rect">
                      <a:avLst/>
                    </a:prstGeom>
                  </pic:spPr>
                </pic:pic>
              </a:graphicData>
            </a:graphic>
          </wp:inline>
        </w:drawing>
      </w:r>
    </w:p>
    <w:p>
      <w:pPr>
        <w:pStyle w:val="Normal"/>
        <w:suppressAutoHyphens w:val="true"/>
        <w:spacing w:lineRule="atLeast" w:line="100"/>
        <w:ind w:firstLine="709"/>
        <w:jc w:val="both"/>
        <w:rPr>
          <w:bCs/>
          <w:color w:val="000000"/>
          <w:kern w:val="2"/>
          <w:sz w:val="28"/>
          <w:szCs w:val="28"/>
          <w:lang w:eastAsia="ar-SA"/>
        </w:rPr>
      </w:pPr>
      <w:r>
        <w:rPr>
          <w:bCs/>
          <w:color w:val="000000"/>
          <w:kern w:val="2"/>
          <w:sz w:val="28"/>
          <w:szCs w:val="28"/>
          <w:lang w:eastAsia="ar-SA"/>
        </w:rPr>
        <w:t xml:space="preserve">Грибы растить дорого, долго и сложно, поэтому в целях экономии учёные сделали генно-модифицированную </w:t>
      </w:r>
      <w:r>
        <w:rPr>
          <w:bCs/>
          <w:color w:val="000000"/>
          <w:kern w:val="2"/>
          <w:sz w:val="28"/>
          <w:szCs w:val="28"/>
          <w:lang w:val="en-US" w:eastAsia="ar-SA"/>
        </w:rPr>
        <w:t>E</w:t>
      </w:r>
      <w:r>
        <w:rPr>
          <w:bCs/>
          <w:color w:val="000000"/>
          <w:kern w:val="2"/>
          <w:sz w:val="28"/>
          <w:szCs w:val="28"/>
          <w:lang w:eastAsia="ar-SA"/>
        </w:rPr>
        <w:t xml:space="preserve">. </w:t>
      </w:r>
      <w:r>
        <w:rPr>
          <w:bCs/>
          <w:color w:val="000000"/>
          <w:kern w:val="2"/>
          <w:sz w:val="28"/>
          <w:szCs w:val="28"/>
          <w:lang w:val="en-US" w:eastAsia="ar-SA"/>
        </w:rPr>
        <w:t>coli</w:t>
      </w:r>
      <w:r>
        <w:rPr>
          <w:bCs/>
          <w:color w:val="000000"/>
          <w:kern w:val="2"/>
          <w:sz w:val="28"/>
          <w:szCs w:val="28"/>
          <w:lang w:eastAsia="ar-SA"/>
        </w:rPr>
        <w:t xml:space="preserve">, которая имеет этот путь. Но почему-то в </w:t>
      </w:r>
      <w:r>
        <w:rPr>
          <w:b/>
          <w:bCs/>
          <w:color w:val="000000"/>
          <w:kern w:val="2"/>
          <w:sz w:val="28"/>
          <w:szCs w:val="28"/>
          <w:lang w:eastAsia="ar-SA"/>
        </w:rPr>
        <w:t>аэробных условиях</w:t>
      </w:r>
      <w:r>
        <w:rPr>
          <w:bCs/>
          <w:color w:val="000000"/>
          <w:kern w:val="2"/>
          <w:sz w:val="28"/>
          <w:szCs w:val="28"/>
          <w:lang w:eastAsia="ar-SA"/>
        </w:rPr>
        <w:t xml:space="preserve"> выход изобутанола оказался сильно </w:t>
      </w:r>
      <w:r>
        <w:rPr>
          <w:b/>
          <w:bCs/>
          <w:color w:val="000000"/>
          <w:kern w:val="2"/>
          <w:sz w:val="28"/>
          <w:szCs w:val="28"/>
          <w:lang w:eastAsia="ar-SA"/>
        </w:rPr>
        <w:t>лучше, чем в анаэробных</w:t>
      </w:r>
      <w:r>
        <w:rPr>
          <w:bCs/>
          <w:color w:val="000000"/>
          <w:kern w:val="2"/>
          <w:sz w:val="28"/>
          <w:szCs w:val="28"/>
          <w:lang w:eastAsia="ar-SA"/>
        </w:rPr>
        <w:t>.</w:t>
      </w:r>
    </w:p>
    <w:p>
      <w:pPr>
        <w:pStyle w:val="Normal"/>
        <w:suppressAutoHyphens w:val="true"/>
        <w:spacing w:lineRule="atLeast" w:line="100"/>
        <w:ind w:firstLine="709"/>
        <w:jc w:val="both"/>
        <w:rPr>
          <w:bCs/>
          <w:color w:val="000000"/>
          <w:kern w:val="2"/>
          <w:sz w:val="28"/>
          <w:szCs w:val="28"/>
          <w:lang w:eastAsia="ar-SA"/>
        </w:rPr>
      </w:pPr>
      <w:r>
        <w:rPr>
          <w:bCs/>
          <w:color w:val="000000"/>
          <w:kern w:val="2"/>
          <w:sz w:val="28"/>
          <w:szCs w:val="28"/>
          <w:lang w:eastAsia="ar-SA"/>
        </w:rPr>
        <w:t xml:space="preserve">Чем можно это объяснить? Предложите способ увеличить выход изобутанола в анаэробных условиях. В ходе решения для всех модификаций на молекулярном и макромолекулярном уровне должны быть предложены </w:t>
      </w:r>
      <w:r>
        <w:rPr>
          <w:b/>
          <w:bCs/>
          <w:color w:val="000000"/>
          <w:kern w:val="2"/>
          <w:sz w:val="28"/>
          <w:szCs w:val="28"/>
          <w:lang w:eastAsia="ar-SA"/>
        </w:rPr>
        <w:t>конкретные пути реализации</w:t>
      </w:r>
      <w:r>
        <w:rPr>
          <w:bCs/>
          <w:color w:val="000000"/>
          <w:kern w:val="2"/>
          <w:sz w:val="28"/>
          <w:szCs w:val="28"/>
          <w:lang w:eastAsia="ar-SA"/>
        </w:rPr>
        <w:t>.</w:t>
      </w:r>
    </w:p>
    <w:p>
      <w:pPr>
        <w:pStyle w:val="Normal"/>
        <w:suppressAutoHyphens w:val="true"/>
        <w:ind w:firstLine="709"/>
        <w:jc w:val="both"/>
        <w:rPr>
          <w:bCs/>
          <w:color w:val="000000"/>
          <w:kern w:val="2"/>
          <w:sz w:val="28"/>
          <w:szCs w:val="28"/>
          <w:lang w:eastAsia="ar-SA"/>
        </w:rPr>
      </w:pPr>
      <w:r>
        <w:rPr>
          <w:bCs/>
          <w:color w:val="000000"/>
          <w:kern w:val="2"/>
          <w:sz w:val="28"/>
          <w:szCs w:val="28"/>
          <w:lang w:eastAsia="ar-SA"/>
        </w:rPr>
      </w:r>
    </w:p>
    <w:p>
      <w:pPr>
        <w:pStyle w:val="Normal"/>
        <w:suppressAutoHyphens w:val="true"/>
        <w:ind w:firstLine="709"/>
        <w:jc w:val="both"/>
        <w:rPr>
          <w:bCs/>
          <w:color w:val="000000"/>
          <w:kern w:val="2"/>
          <w:sz w:val="28"/>
          <w:szCs w:val="28"/>
          <w:lang w:eastAsia="ar-SA"/>
        </w:rPr>
      </w:pPr>
      <w:r>
        <w:rPr>
          <w:bCs/>
          <w:color w:val="000000"/>
          <w:kern w:val="2"/>
          <w:sz w:val="28"/>
          <w:szCs w:val="28"/>
          <w:lang w:eastAsia="ar-SA"/>
        </w:rPr>
        <w:t xml:space="preserve">Задача 5. </w:t>
      </w:r>
      <w:r>
        <w:rPr>
          <w:b/>
          <w:bCs/>
          <w:color w:val="000000"/>
          <w:kern w:val="2"/>
          <w:sz w:val="28"/>
          <w:szCs w:val="28"/>
          <w:lang w:eastAsia="ar-SA"/>
        </w:rPr>
        <w:t>Топливный элемент</w:t>
      </w:r>
    </w:p>
    <w:p>
      <w:pPr>
        <w:pStyle w:val="Normal"/>
        <w:suppressAutoHyphens w:val="true"/>
        <w:ind w:firstLine="709"/>
        <w:jc w:val="both"/>
        <w:rPr>
          <w:bCs/>
          <w:color w:val="000000"/>
          <w:kern w:val="2"/>
          <w:sz w:val="28"/>
          <w:szCs w:val="28"/>
          <w:lang w:eastAsia="ar-SA"/>
        </w:rPr>
      </w:pPr>
      <w:r>
        <w:rPr>
          <w:bCs/>
          <w:color w:val="000000"/>
          <w:kern w:val="2"/>
          <w:sz w:val="28"/>
          <w:szCs w:val="28"/>
          <w:lang w:eastAsia="ar-SA"/>
        </w:rPr>
      </w:r>
    </w:p>
    <w:p>
      <w:pPr>
        <w:pStyle w:val="Normal"/>
        <w:ind w:right="147" w:firstLine="709"/>
        <w:jc w:val="both"/>
        <w:rPr>
          <w:sz w:val="28"/>
          <w:szCs w:val="28"/>
        </w:rPr>
      </w:pPr>
      <w:r>
        <w:rPr>
          <w:sz w:val="28"/>
          <w:szCs w:val="28"/>
        </w:rPr>
        <w:t>Топливный элемент – это электрохимическое устройство, позволяющее преобразовывать внутреннюю энергию топлива в электрическую. В отличие от классического подхода к получению электроэнергии – преобразования энергии топлива в тепловую, тепловой в механическую, а механической в электрическую, топливный элемент работает без «посредников», за счет чего он может достигать больших КПД.</w:t>
      </w:r>
    </w:p>
    <w:p>
      <w:pPr>
        <w:pStyle w:val="Normal"/>
        <w:ind w:right="147" w:firstLine="709"/>
        <w:jc w:val="both"/>
        <w:rPr>
          <w:sz w:val="28"/>
          <w:szCs w:val="28"/>
        </w:rPr>
      </w:pPr>
      <w:r>
        <w:rPr>
          <w:sz w:val="28"/>
          <w:szCs w:val="28"/>
        </w:rPr>
        <w:t xml:space="preserve">Современные топливные элементы используются достаточно широко: в транспорте, малых беспилотных системах, системах накопления энергии и небольших электростанциях. Для понравившейся вам области применения (можете выбрать из перечисленных или предложить свою) опишите требования, предъявляемые к используемому в ней топливному элементу. Предложите </w:t>
      </w:r>
      <w:r>
        <w:rPr>
          <w:b/>
          <w:sz w:val="28"/>
          <w:szCs w:val="28"/>
        </w:rPr>
        <w:t>экологичный</w:t>
      </w:r>
      <w:r>
        <w:rPr>
          <w:sz w:val="28"/>
          <w:szCs w:val="28"/>
        </w:rPr>
        <w:t xml:space="preserve"> топливный элемент, удовлетворяющий этим требованиям. Опишите </w:t>
      </w:r>
      <w:r>
        <w:rPr>
          <w:b/>
          <w:sz w:val="28"/>
          <w:szCs w:val="28"/>
        </w:rPr>
        <w:t>строение и принцип его работы</w:t>
      </w:r>
      <w:r>
        <w:rPr>
          <w:sz w:val="28"/>
          <w:szCs w:val="28"/>
        </w:rPr>
        <w:t xml:space="preserve">, а также укажите способ получения топлива. Не забудьте подробно описать его достоинства и недостатки. Дополнительно </w:t>
      </w:r>
      <w:r>
        <w:rPr>
          <w:b/>
          <w:sz w:val="28"/>
          <w:szCs w:val="28"/>
        </w:rPr>
        <w:t>рассчитайте теоретический КПД</w:t>
      </w:r>
      <w:r>
        <w:rPr>
          <w:sz w:val="28"/>
          <w:szCs w:val="28"/>
        </w:rPr>
        <w:t xml:space="preserve"> этого элемента и, по возможности, приведите экспериментальное значение.</w:t>
      </w:r>
    </w:p>
    <w:p>
      <w:pPr>
        <w:pStyle w:val="Normal"/>
        <w:ind w:right="147" w:firstLine="709"/>
        <w:jc w:val="both"/>
        <w:rPr>
          <w:sz w:val="28"/>
          <w:szCs w:val="28"/>
        </w:rPr>
      </w:pPr>
      <w:r>
        <w:rPr>
          <w:sz w:val="28"/>
          <w:szCs w:val="28"/>
        </w:rPr>
      </w:r>
    </w:p>
    <w:p>
      <w:pPr>
        <w:pStyle w:val="Normal"/>
        <w:suppressAutoHyphens w:val="true"/>
        <w:ind w:firstLine="709"/>
        <w:jc w:val="both"/>
        <w:rPr>
          <w:b/>
          <w:bCs/>
          <w:color w:val="000000"/>
          <w:kern w:val="2"/>
          <w:sz w:val="28"/>
          <w:szCs w:val="28"/>
          <w:lang w:eastAsia="ar-SA"/>
        </w:rPr>
      </w:pPr>
      <w:r>
        <w:rPr>
          <w:bCs/>
          <w:color w:val="000000"/>
          <w:kern w:val="2"/>
          <w:sz w:val="28"/>
          <w:szCs w:val="28"/>
          <w:lang w:eastAsia="ar-SA"/>
        </w:rPr>
        <w:t xml:space="preserve">Задача 6. </w:t>
      </w:r>
      <w:r>
        <w:rPr>
          <w:b/>
          <w:bCs/>
          <w:color w:val="000000"/>
          <w:kern w:val="2"/>
          <w:sz w:val="28"/>
          <w:szCs w:val="28"/>
          <w:lang w:eastAsia="ar-SA"/>
        </w:rPr>
        <w:t>Водородная энергетика</w:t>
      </w:r>
    </w:p>
    <w:p>
      <w:pPr>
        <w:pStyle w:val="Normal"/>
        <w:suppressAutoHyphens w:val="true"/>
        <w:ind w:firstLine="709"/>
        <w:jc w:val="both"/>
        <w:rPr>
          <w:bCs/>
          <w:color w:val="000000"/>
          <w:kern w:val="2"/>
          <w:sz w:val="28"/>
          <w:szCs w:val="28"/>
          <w:lang w:eastAsia="ar-SA"/>
        </w:rPr>
      </w:pPr>
      <w:r>
        <w:rPr>
          <w:bCs/>
          <w:color w:val="000000"/>
          <w:kern w:val="2"/>
          <w:sz w:val="28"/>
          <w:szCs w:val="28"/>
          <w:lang w:eastAsia="ar-SA"/>
        </w:rPr>
      </w:r>
    </w:p>
    <w:p>
      <w:pPr>
        <w:pStyle w:val="Normal"/>
        <w:suppressAutoHyphens w:val="true"/>
        <w:ind w:firstLine="709"/>
        <w:jc w:val="both"/>
        <w:rPr>
          <w:sz w:val="28"/>
        </w:rPr>
      </w:pPr>
      <w:r>
        <w:rPr>
          <w:sz w:val="28"/>
        </w:rPr>
        <w:t xml:space="preserve">Водород может выступать в роли экологичного способа хранения энергии, так как он нетоксичен, а в ходе его окисления образуется только вода. При этом он обладает высокой удельной теплотой сгорания, то есть в нём удаётся запасти большое количество энергии. Но хранение самого водорода представляет собой непростую задачу: в газообразном состоянии за счёт малого размера молекулы он может диффундировать сквозь стенки сосудов. Один из способов решения — перевод водорода в жидкое состояние при низкой температуре, но это приводит к необходимости создания и поддержания таких экстремальных условий. Альтернативой являются сорбционные методы, которые могут быть основаны как на физической, так и на хемосорбции водорода. </w:t>
      </w:r>
    </w:p>
    <w:p>
      <w:pPr>
        <w:pStyle w:val="Normal"/>
        <w:suppressAutoHyphens w:val="true"/>
        <w:ind w:firstLine="709"/>
        <w:jc w:val="both"/>
        <w:rPr>
          <w:sz w:val="28"/>
        </w:rPr>
      </w:pPr>
      <w:r>
        <w:rPr>
          <w:sz w:val="28"/>
        </w:rPr>
        <w:t xml:space="preserve">Предложите сорбент для хранения водорода. Рассчитайте </w:t>
      </w:r>
      <w:r>
        <w:rPr>
          <w:b/>
          <w:sz w:val="28"/>
        </w:rPr>
        <w:t>объёмную и энергетическую ёмкость вашего сорбента</w:t>
      </w:r>
      <w:r>
        <w:rPr>
          <w:sz w:val="28"/>
        </w:rPr>
        <w:t xml:space="preserve">. Укажите необходимые условия для сохранения и высвобождения водорода, а также опишите соответствующие процессы, по возможности сопроводив их термодинамическими вычислениями. Приведите достоинства и недостатки вашего сорбента. Дополнительно оцените его стоимость и возможность повторного использования после высвобождения водорода.  </w:t>
      </w:r>
    </w:p>
    <w:p>
      <w:pPr>
        <w:pStyle w:val="Normal"/>
        <w:suppressAutoHyphens w:val="true"/>
        <w:ind w:firstLine="709"/>
        <w:rPr>
          <w:sz w:val="28"/>
        </w:rPr>
      </w:pPr>
      <w:r>
        <w:rPr>
          <w:sz w:val="28"/>
        </w:rPr>
      </w:r>
    </w:p>
    <w:p>
      <w:pPr>
        <w:pStyle w:val="Normal"/>
        <w:suppressAutoHyphens w:val="true"/>
        <w:ind w:firstLine="709"/>
        <w:rPr>
          <w:bCs/>
          <w:color w:val="000000"/>
          <w:kern w:val="2"/>
          <w:sz w:val="28"/>
          <w:szCs w:val="28"/>
          <w:lang w:eastAsia="ar-SA"/>
        </w:rPr>
      </w:pPr>
      <w:r>
        <w:rPr>
          <w:bCs/>
          <w:color w:val="000000"/>
          <w:kern w:val="2"/>
          <w:sz w:val="28"/>
          <w:szCs w:val="28"/>
          <w:lang w:eastAsia="ar-SA"/>
        </w:rPr>
        <w:t xml:space="preserve">Задача 7. </w:t>
      </w:r>
      <w:r>
        <w:rPr>
          <w:b/>
          <w:bCs/>
          <w:color w:val="000000"/>
          <w:kern w:val="2"/>
          <w:sz w:val="28"/>
          <w:szCs w:val="28"/>
          <w:lang w:val="en-US" w:eastAsia="ar-SA"/>
        </w:rPr>
        <w:t>Divide</w:t>
      </w:r>
      <w:r>
        <w:rPr>
          <w:b/>
          <w:bCs/>
          <w:color w:val="000000"/>
          <w:kern w:val="2"/>
          <w:sz w:val="28"/>
          <w:szCs w:val="28"/>
          <w:lang w:eastAsia="ar-SA"/>
        </w:rPr>
        <w:t xml:space="preserve"> </w:t>
      </w:r>
      <w:r>
        <w:rPr>
          <w:b/>
          <w:bCs/>
          <w:color w:val="000000"/>
          <w:kern w:val="2"/>
          <w:sz w:val="28"/>
          <w:szCs w:val="28"/>
          <w:lang w:val="en-US" w:eastAsia="ar-SA"/>
        </w:rPr>
        <w:t>et</w:t>
      </w:r>
      <w:r>
        <w:rPr>
          <w:b/>
          <w:bCs/>
          <w:color w:val="000000"/>
          <w:kern w:val="2"/>
          <w:sz w:val="28"/>
          <w:szCs w:val="28"/>
          <w:lang w:eastAsia="ar-SA"/>
        </w:rPr>
        <w:t xml:space="preserve"> </w:t>
      </w:r>
      <w:r>
        <w:rPr>
          <w:b/>
          <w:bCs/>
          <w:color w:val="000000"/>
          <w:kern w:val="2"/>
          <w:sz w:val="28"/>
          <w:szCs w:val="28"/>
          <w:lang w:val="en-US" w:eastAsia="ar-SA"/>
        </w:rPr>
        <w:t>impera</w:t>
      </w:r>
    </w:p>
    <w:p>
      <w:pPr>
        <w:pStyle w:val="Normal"/>
        <w:suppressAutoHyphens w:val="true"/>
        <w:spacing w:lineRule="atLeast" w:line="100"/>
        <w:ind w:firstLine="709"/>
        <w:jc w:val="both"/>
        <w:rPr>
          <w:bCs/>
          <w:color w:val="000000"/>
          <w:kern w:val="2"/>
          <w:sz w:val="28"/>
          <w:szCs w:val="28"/>
          <w:lang w:eastAsia="ar-SA"/>
        </w:rPr>
      </w:pPr>
      <w:r>
        <w:rPr>
          <w:bCs/>
          <w:color w:val="000000"/>
          <w:kern w:val="2"/>
          <w:sz w:val="28"/>
          <w:szCs w:val="28"/>
          <w:lang w:eastAsia="ar-SA"/>
        </w:rPr>
      </w:r>
    </w:p>
    <w:p>
      <w:pPr>
        <w:pStyle w:val="Normal"/>
        <w:suppressAutoHyphens w:val="true"/>
        <w:spacing w:lineRule="atLeast" w:line="100"/>
        <w:ind w:firstLine="709"/>
        <w:jc w:val="both"/>
        <w:rPr>
          <w:sz w:val="28"/>
        </w:rPr>
      </w:pPr>
      <w:r>
        <w:rPr>
          <w:sz w:val="28"/>
        </w:rPr>
        <w:t xml:space="preserve">Разделение нефти на фракции - важнейшая задача химической промышленности. На сегодняшний день, основным методом является ректификация, но динамика изменения мира вынуждает нас всегда иметь в запасе альтернативные способы. </w:t>
      </w:r>
    </w:p>
    <w:p>
      <w:pPr>
        <w:pStyle w:val="Normal"/>
        <w:suppressAutoHyphens w:val="true"/>
        <w:spacing w:lineRule="atLeast" w:line="100"/>
        <w:ind w:firstLine="709"/>
        <w:jc w:val="both"/>
        <w:rPr>
          <w:sz w:val="28"/>
        </w:rPr>
      </w:pPr>
      <w:r>
        <w:rPr>
          <w:sz w:val="28"/>
        </w:rPr>
        <w:t xml:space="preserve">Предложите способ разделения сырой нефти </w:t>
      </w:r>
      <w:r>
        <w:rPr>
          <w:b/>
          <w:sz w:val="28"/>
        </w:rPr>
        <w:t>как минимум на 3 различные фракции методом, отличным от ректификации</w:t>
      </w:r>
      <w:r>
        <w:rPr>
          <w:sz w:val="28"/>
        </w:rPr>
        <w:t xml:space="preserve"> (фракционной перегонки). Опишите предполагаемый состав фракций и их отличие от продуктов метода фракционной перегонки. Дайте свою обоснованную оценку эффективности предложенного метода, опишите его преимущества и недостатки. </w:t>
      </w:r>
    </w:p>
    <w:p>
      <w:pPr>
        <w:pStyle w:val="Normal"/>
        <w:suppressAutoHyphens w:val="true"/>
        <w:spacing w:lineRule="atLeast" w:line="100"/>
        <w:ind w:firstLine="709"/>
        <w:jc w:val="both"/>
        <w:rPr>
          <w:sz w:val="28"/>
        </w:rPr>
      </w:pPr>
      <w:r>
        <w:rPr>
          <w:sz w:val="28"/>
        </w:rPr>
        <w:t xml:space="preserve">Приведите </w:t>
      </w:r>
      <w:r>
        <w:rPr>
          <w:b/>
          <w:sz w:val="28"/>
        </w:rPr>
        <w:t>конкретные примеры</w:t>
      </w:r>
      <w:r>
        <w:rPr>
          <w:sz w:val="28"/>
        </w:rPr>
        <w:t xml:space="preserve"> возможности использования получаемых фракций на практике.</w:t>
      </w:r>
    </w:p>
    <w:p>
      <w:pPr>
        <w:pStyle w:val="Normal"/>
        <w:suppressAutoHyphens w:val="true"/>
        <w:spacing w:lineRule="atLeast" w:line="100"/>
        <w:ind w:firstLine="709"/>
        <w:jc w:val="both"/>
        <w:rPr>
          <w:spacing w:val="1"/>
          <w:sz w:val="28"/>
        </w:rPr>
      </w:pPr>
      <w:r>
        <w:rPr>
          <w:spacing w:val="1"/>
          <w:sz w:val="28"/>
        </w:rPr>
      </w:r>
    </w:p>
    <w:p>
      <w:pPr>
        <w:pStyle w:val="Normal"/>
        <w:suppressAutoHyphens w:val="true"/>
        <w:spacing w:lineRule="atLeast" w:line="100"/>
        <w:ind w:firstLine="709"/>
        <w:jc w:val="both"/>
        <w:rPr>
          <w:bCs/>
          <w:color w:val="000000"/>
          <w:kern w:val="2"/>
          <w:sz w:val="28"/>
          <w:szCs w:val="28"/>
          <w:lang w:eastAsia="ar-SA"/>
        </w:rPr>
      </w:pPr>
      <w:r>
        <w:rPr>
          <w:bCs/>
          <w:color w:val="000000"/>
          <w:kern w:val="2"/>
          <w:sz w:val="28"/>
          <w:szCs w:val="28"/>
          <w:lang w:eastAsia="ar-SA"/>
        </w:rPr>
        <w:t xml:space="preserve">Задача 8. </w:t>
      </w:r>
      <w:r>
        <w:rPr>
          <w:b/>
          <w:bCs/>
          <w:color w:val="000000"/>
          <w:kern w:val="2"/>
          <w:sz w:val="28"/>
          <w:szCs w:val="28"/>
          <w:lang w:eastAsia="ar-SA"/>
        </w:rPr>
        <w:t>Ягодная нефть</w:t>
      </w:r>
    </w:p>
    <w:p>
      <w:pPr>
        <w:pStyle w:val="Normal"/>
        <w:suppressAutoHyphens w:val="true"/>
        <w:spacing w:lineRule="atLeast" w:line="100"/>
        <w:ind w:firstLine="709"/>
        <w:jc w:val="both"/>
        <w:rPr>
          <w:bCs/>
          <w:color w:val="000000"/>
          <w:kern w:val="2"/>
          <w:sz w:val="28"/>
          <w:szCs w:val="28"/>
          <w:lang w:eastAsia="ar-SA"/>
        </w:rPr>
      </w:pPr>
      <w:r>
        <w:rPr>
          <w:bCs/>
          <w:color w:val="000000"/>
          <w:kern w:val="2"/>
          <w:sz w:val="28"/>
          <w:szCs w:val="28"/>
          <w:lang w:eastAsia="ar-SA"/>
        </w:rPr>
      </w:r>
    </w:p>
    <w:p>
      <w:pPr>
        <w:pStyle w:val="Style15"/>
        <w:ind w:firstLine="709"/>
        <w:jc w:val="both"/>
        <w:rPr>
          <w:rFonts w:ascii="Times New Roman" w:hAnsi="Times New Roman" w:cs="Times New Roman"/>
          <w:sz w:val="36"/>
        </w:rPr>
      </w:pPr>
      <w:r>
        <w:rPr>
          <w:rFonts w:eastAsia="Times New Roman" w:cs="Times New Roman" w:ascii="Times New Roman" w:hAnsi="Times New Roman"/>
          <w:sz w:val="28"/>
          <w:szCs w:val="20"/>
          <w:lang w:eastAsia="ru-RU"/>
        </w:rPr>
        <w:t xml:space="preserve">В прошлой задаче вам уже удалось разделить нефть на несколько новых фракций, не желаете ли вы полакомиться полученным? Мы предлагаем Вам использовать первичные нефтяные продукты для весьма необычных целей. Всеми любимые ягоды содержат в своем составе характерные органические вещества, отвечающие за вкус и аромат. Выберите любимую ягоду и, используя нефть в качестве единственного источника атомов углерода, попробуйте получить соответствующий ягодный вкус, формируемый </w:t>
      </w:r>
      <w:r>
        <w:rPr>
          <w:rFonts w:eastAsia="Times New Roman" w:cs="Times New Roman" w:ascii="Times New Roman" w:hAnsi="Times New Roman"/>
          <w:b/>
          <w:sz w:val="28"/>
          <w:szCs w:val="20"/>
          <w:lang w:eastAsia="ru-RU"/>
        </w:rPr>
        <w:t>минимум тремя веществами в определенном соотношении</w:t>
      </w:r>
      <w:r>
        <w:rPr>
          <w:rFonts w:eastAsia="Times New Roman" w:cs="Times New Roman" w:ascii="Times New Roman" w:hAnsi="Times New Roman"/>
          <w:sz w:val="28"/>
          <w:szCs w:val="20"/>
          <w:lang w:eastAsia="ru-RU"/>
        </w:rPr>
        <w:t xml:space="preserve"> (обязательно укажите его в своём решении!) с помощью химических превращений.</w:t>
      </w:r>
    </w:p>
    <w:p>
      <w:pPr>
        <w:sectPr>
          <w:type w:val="nextPage"/>
          <w:pgSz w:w="12240" w:h="15840"/>
          <w:pgMar w:left="851" w:right="1134" w:gutter="0" w:header="0" w:top="992" w:footer="0" w:bottom="851"/>
          <w:pgNumType w:fmt="decimal"/>
          <w:formProt w:val="false"/>
          <w:textDirection w:val="lrTb"/>
          <w:docGrid w:type="default" w:linePitch="272" w:charSpace="8192"/>
        </w:sectPr>
        <w:pStyle w:val="Normal"/>
        <w:jc w:val="center"/>
        <w:rPr>
          <w:color w:val="000000"/>
          <w:sz w:val="24"/>
          <w:szCs w:val="24"/>
        </w:rPr>
      </w:pPr>
      <w:r>
        <w:rPr>
          <w:color w:val="000000"/>
          <w:sz w:val="24"/>
          <w:szCs w:val="24"/>
        </w:rPr>
      </w:r>
    </w:p>
    <w:p>
      <w:pPr>
        <w:pStyle w:val="Normal"/>
        <w:jc w:val="center"/>
        <w:rPr>
          <w:rFonts w:eastAsia="Calibri"/>
          <w:sz w:val="28"/>
          <w:szCs w:val="28"/>
          <w:lang w:eastAsia="en-US"/>
        </w:rPr>
      </w:pPr>
      <w:r>
        <w:rPr>
          <w:rFonts w:eastAsia="Calibri"/>
          <w:sz w:val="28"/>
          <w:szCs w:val="28"/>
          <w:lang w:eastAsia="en-US"/>
        </w:rPr>
        <w:t>Заявка на участие в Х республиканском химическом турнире Татарстана 16-17 ноября 2024 года</w:t>
      </w:r>
    </w:p>
    <w:p>
      <w:pPr>
        <w:pStyle w:val="Normal"/>
        <w:jc w:val="center"/>
        <w:rPr>
          <w:rFonts w:eastAsia="Calibri"/>
          <w:sz w:val="28"/>
          <w:szCs w:val="28"/>
          <w:lang w:eastAsia="en-US"/>
        </w:rPr>
      </w:pPr>
      <w:r>
        <w:rPr>
          <w:rFonts w:eastAsia="Calibri"/>
          <w:sz w:val="28"/>
          <w:szCs w:val="28"/>
          <w:lang w:eastAsia="en-US"/>
        </w:rPr>
      </w:r>
    </w:p>
    <w:tbl>
      <w:tblPr>
        <w:tblW w:w="14390"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10"/>
        <w:gridCol w:w="935"/>
        <w:gridCol w:w="2426"/>
        <w:gridCol w:w="2197"/>
        <w:gridCol w:w="1897"/>
        <w:gridCol w:w="1577"/>
        <w:gridCol w:w="1774"/>
        <w:gridCol w:w="1858"/>
        <w:gridCol w:w="1642"/>
        <w:gridCol w:w="72"/>
      </w:tblGrid>
      <w:tr>
        <w:trPr>
          <w:trHeight w:val="2535" w:hRule="atLeast"/>
        </w:trPr>
        <w:tc>
          <w:tcPr>
            <w:tcW w:w="10" w:type="dxa"/>
            <w:tcBorders/>
          </w:tcPr>
          <w:p>
            <w:pPr>
              <w:pStyle w:val="Normal"/>
              <w:widowControl w:val="false"/>
              <w:jc w:val="center"/>
              <w:rPr>
                <w:color w:val="000000"/>
                <w:sz w:val="24"/>
                <w:szCs w:val="24"/>
              </w:rPr>
            </w:pPr>
            <w:r>
              <w:rPr/>
            </w:r>
          </w:p>
        </w:tc>
        <w:tc>
          <w:tcPr>
            <w:tcW w:w="935"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4"/>
                <w:szCs w:val="24"/>
              </w:rPr>
            </w:pPr>
            <w:r>
              <w:rPr>
                <w:color w:val="000000"/>
                <w:sz w:val="24"/>
                <w:szCs w:val="24"/>
              </w:rPr>
              <w:t xml:space="preserve">№ </w:t>
            </w:r>
            <w:r>
              <w:rPr>
                <w:color w:val="000000"/>
                <w:sz w:val="24"/>
                <w:szCs w:val="24"/>
              </w:rPr>
              <w:t>п/п</w:t>
            </w:r>
          </w:p>
        </w:tc>
        <w:tc>
          <w:tcPr>
            <w:tcW w:w="2426" w:type="dxa"/>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4"/>
                <w:szCs w:val="24"/>
              </w:rPr>
            </w:pPr>
            <w:r>
              <w:rPr>
                <w:color w:val="000000"/>
                <w:sz w:val="24"/>
                <w:szCs w:val="24"/>
              </w:rPr>
              <w:t>ФИО участника</w:t>
            </w:r>
          </w:p>
        </w:tc>
        <w:tc>
          <w:tcPr>
            <w:tcW w:w="2197" w:type="dxa"/>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4"/>
                <w:szCs w:val="24"/>
              </w:rPr>
            </w:pPr>
            <w:r>
              <w:rPr>
                <w:color w:val="000000"/>
                <w:sz w:val="24"/>
                <w:szCs w:val="24"/>
              </w:rPr>
              <w:t>Муниципальное образование, школа, класс</w:t>
            </w:r>
          </w:p>
        </w:tc>
        <w:tc>
          <w:tcPr>
            <w:tcW w:w="1897" w:type="dxa"/>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4"/>
                <w:szCs w:val="24"/>
              </w:rPr>
            </w:pPr>
            <w:r>
              <w:rPr>
                <w:color w:val="000000"/>
                <w:sz w:val="24"/>
                <w:szCs w:val="24"/>
              </w:rPr>
              <w:t>Мобильный  телефон, электронная почта</w:t>
            </w:r>
          </w:p>
        </w:tc>
        <w:tc>
          <w:tcPr>
            <w:tcW w:w="1577" w:type="dxa"/>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4"/>
                <w:szCs w:val="24"/>
              </w:rPr>
            </w:pPr>
            <w:r>
              <w:rPr>
                <w:color w:val="000000"/>
                <w:sz w:val="24"/>
                <w:szCs w:val="24"/>
              </w:rPr>
              <w:t>Портфолио участника</w:t>
            </w:r>
          </w:p>
        </w:tc>
        <w:tc>
          <w:tcPr>
            <w:tcW w:w="1774" w:type="dxa"/>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4"/>
                <w:szCs w:val="24"/>
              </w:rPr>
            </w:pPr>
            <w:r>
              <w:rPr>
                <w:color w:val="000000"/>
                <w:sz w:val="24"/>
                <w:szCs w:val="24"/>
              </w:rPr>
              <w:t>Капитан команды (отметить из списка)</w:t>
            </w:r>
          </w:p>
        </w:tc>
        <w:tc>
          <w:tcPr>
            <w:tcW w:w="1858" w:type="dxa"/>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4"/>
                <w:szCs w:val="24"/>
              </w:rPr>
            </w:pPr>
            <w:r>
              <w:rPr>
                <w:color w:val="000000"/>
                <w:sz w:val="24"/>
                <w:szCs w:val="24"/>
              </w:rPr>
              <w:t>Руководитель команды: Ф.И.О., контактные данные (телефон, электронная почта)</w:t>
            </w:r>
          </w:p>
        </w:tc>
        <w:tc>
          <w:tcPr>
            <w:tcW w:w="1714" w:type="dxa"/>
            <w:gridSpan w:val="2"/>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4"/>
                <w:szCs w:val="24"/>
              </w:rPr>
            </w:pPr>
            <w:r>
              <w:rPr>
                <w:color w:val="000000"/>
                <w:sz w:val="24"/>
                <w:szCs w:val="24"/>
              </w:rPr>
              <w:t>Наименование команды</w:t>
            </w:r>
          </w:p>
        </w:tc>
      </w:tr>
      <w:tr>
        <w:trPr>
          <w:trHeight w:val="330" w:hRule="atLeast"/>
        </w:trPr>
        <w:tc>
          <w:tcPr>
            <w:tcW w:w="10" w:type="dxa"/>
            <w:tcBorders/>
          </w:tcPr>
          <w:p>
            <w:pPr>
              <w:pStyle w:val="Normal"/>
              <w:widowControl w:val="false"/>
              <w:rPr>
                <w:color w:val="000000"/>
                <w:sz w:val="24"/>
                <w:szCs w:val="24"/>
              </w:rPr>
            </w:pPr>
            <w:r>
              <w:rPr/>
            </w:r>
          </w:p>
        </w:tc>
        <w:tc>
          <w:tcPr>
            <w:tcW w:w="935" w:type="dxa"/>
            <w:tcBorders>
              <w:left w:val="single" w:sz="8" w:space="0" w:color="000000"/>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2426"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xml:space="preserve"> </w:t>
            </w:r>
          </w:p>
        </w:tc>
        <w:tc>
          <w:tcPr>
            <w:tcW w:w="2197"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897"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577"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774"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858"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714" w:type="dxa"/>
            <w:gridSpan w:val="2"/>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r>
      <w:tr>
        <w:trPr>
          <w:trHeight w:val="330" w:hRule="atLeast"/>
        </w:trPr>
        <w:tc>
          <w:tcPr>
            <w:tcW w:w="10" w:type="dxa"/>
            <w:tcBorders/>
          </w:tcPr>
          <w:p>
            <w:pPr>
              <w:pStyle w:val="Normal"/>
              <w:widowControl w:val="false"/>
              <w:rPr>
                <w:color w:val="000000"/>
                <w:sz w:val="24"/>
                <w:szCs w:val="24"/>
              </w:rPr>
            </w:pPr>
            <w:r>
              <w:rPr/>
            </w:r>
          </w:p>
        </w:tc>
        <w:tc>
          <w:tcPr>
            <w:tcW w:w="935" w:type="dxa"/>
            <w:tcBorders>
              <w:left w:val="single" w:sz="8" w:space="0" w:color="000000"/>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2426"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2197"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897"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577"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774"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858"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714" w:type="dxa"/>
            <w:gridSpan w:val="2"/>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r>
      <w:tr>
        <w:trPr>
          <w:trHeight w:val="330" w:hRule="atLeast"/>
        </w:trPr>
        <w:tc>
          <w:tcPr>
            <w:tcW w:w="10" w:type="dxa"/>
            <w:tcBorders/>
          </w:tcPr>
          <w:p>
            <w:pPr>
              <w:pStyle w:val="Normal"/>
              <w:widowControl w:val="false"/>
              <w:rPr>
                <w:color w:val="000000"/>
                <w:sz w:val="24"/>
                <w:szCs w:val="24"/>
              </w:rPr>
            </w:pPr>
            <w:r>
              <w:rPr/>
            </w:r>
          </w:p>
        </w:tc>
        <w:tc>
          <w:tcPr>
            <w:tcW w:w="935" w:type="dxa"/>
            <w:tcBorders>
              <w:left w:val="single" w:sz="8" w:space="0" w:color="000000"/>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2426"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2197"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897"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577"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774"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858"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714" w:type="dxa"/>
            <w:gridSpan w:val="2"/>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r>
      <w:tr>
        <w:trPr>
          <w:trHeight w:val="330" w:hRule="atLeast"/>
        </w:trPr>
        <w:tc>
          <w:tcPr>
            <w:tcW w:w="10" w:type="dxa"/>
            <w:tcBorders/>
          </w:tcPr>
          <w:p>
            <w:pPr>
              <w:pStyle w:val="Normal"/>
              <w:widowControl w:val="false"/>
              <w:rPr>
                <w:color w:val="000000"/>
                <w:sz w:val="24"/>
                <w:szCs w:val="24"/>
              </w:rPr>
            </w:pPr>
            <w:r>
              <w:rPr/>
            </w:r>
          </w:p>
        </w:tc>
        <w:tc>
          <w:tcPr>
            <w:tcW w:w="935" w:type="dxa"/>
            <w:tcBorders>
              <w:left w:val="single" w:sz="8" w:space="0" w:color="000000"/>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2426"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2197"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897"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577"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774"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858"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714" w:type="dxa"/>
            <w:gridSpan w:val="2"/>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r>
      <w:tr>
        <w:trPr>
          <w:trHeight w:val="330" w:hRule="atLeast"/>
        </w:trPr>
        <w:tc>
          <w:tcPr>
            <w:tcW w:w="10" w:type="dxa"/>
            <w:tcBorders/>
          </w:tcPr>
          <w:p>
            <w:pPr>
              <w:pStyle w:val="Normal"/>
              <w:widowControl w:val="false"/>
              <w:rPr>
                <w:color w:val="000000"/>
                <w:sz w:val="24"/>
                <w:szCs w:val="24"/>
              </w:rPr>
            </w:pPr>
            <w:r>
              <w:rPr/>
            </w:r>
          </w:p>
        </w:tc>
        <w:tc>
          <w:tcPr>
            <w:tcW w:w="935" w:type="dxa"/>
            <w:tcBorders>
              <w:left w:val="single" w:sz="8" w:space="0" w:color="000000"/>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2426"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2197"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897"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577"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774"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858"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714" w:type="dxa"/>
            <w:gridSpan w:val="2"/>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r>
      <w:tr>
        <w:trPr>
          <w:trHeight w:val="330" w:hRule="atLeast"/>
        </w:trPr>
        <w:tc>
          <w:tcPr>
            <w:tcW w:w="10" w:type="dxa"/>
            <w:tcBorders/>
          </w:tcPr>
          <w:p>
            <w:pPr>
              <w:pStyle w:val="Normal"/>
              <w:widowControl w:val="false"/>
              <w:rPr>
                <w:color w:val="000000"/>
                <w:sz w:val="24"/>
                <w:szCs w:val="24"/>
              </w:rPr>
            </w:pPr>
            <w:r>
              <w:rPr/>
            </w:r>
          </w:p>
        </w:tc>
        <w:tc>
          <w:tcPr>
            <w:tcW w:w="935" w:type="dxa"/>
            <w:tcBorders>
              <w:left w:val="single" w:sz="8" w:space="0" w:color="000000"/>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2426"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2197"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897"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577"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774"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858"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714" w:type="dxa"/>
            <w:gridSpan w:val="2"/>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r>
      <w:tr>
        <w:trPr>
          <w:trHeight w:val="330" w:hRule="atLeast"/>
        </w:trPr>
        <w:tc>
          <w:tcPr>
            <w:tcW w:w="10" w:type="dxa"/>
            <w:tcBorders/>
          </w:tcPr>
          <w:p>
            <w:pPr>
              <w:pStyle w:val="Normal"/>
              <w:widowControl w:val="false"/>
              <w:rPr>
                <w:color w:val="000000"/>
                <w:sz w:val="24"/>
                <w:szCs w:val="24"/>
              </w:rPr>
            </w:pPr>
            <w:r>
              <w:rPr/>
            </w:r>
          </w:p>
        </w:tc>
        <w:tc>
          <w:tcPr>
            <w:tcW w:w="935" w:type="dxa"/>
            <w:tcBorders>
              <w:left w:val="single" w:sz="8" w:space="0" w:color="000000"/>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2426"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2197"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897"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577"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774"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858" w:type="dxa"/>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c>
          <w:tcPr>
            <w:tcW w:w="1714" w:type="dxa"/>
            <w:gridSpan w:val="2"/>
            <w:tcBorders>
              <w:bottom w:val="single" w:sz="8" w:space="0" w:color="000000"/>
              <w:right w:val="single" w:sz="8" w:space="0" w:color="000000"/>
            </w:tcBorders>
            <w:shd w:color="auto" w:fill="auto" w:val="clear"/>
            <w:vAlign w:val="center"/>
          </w:tcPr>
          <w:p>
            <w:pPr>
              <w:pStyle w:val="Normal"/>
              <w:widowControl w:val="false"/>
              <w:rPr>
                <w:color w:val="000000"/>
                <w:sz w:val="24"/>
                <w:szCs w:val="24"/>
              </w:rPr>
            </w:pPr>
            <w:r>
              <w:rPr>
                <w:color w:val="000000"/>
                <w:sz w:val="24"/>
                <w:szCs w:val="24"/>
              </w:rPr>
              <w:t> </w:t>
            </w:r>
          </w:p>
        </w:tc>
      </w:tr>
      <w:tr>
        <w:trPr>
          <w:trHeight w:val="315" w:hRule="atLeast"/>
        </w:trPr>
        <w:tc>
          <w:tcPr>
            <w:tcW w:w="14316" w:type="dxa"/>
            <w:gridSpan w:val="9"/>
            <w:tcBorders/>
            <w:shd w:color="auto" w:fill="auto" w:val="clear"/>
            <w:vAlign w:val="center"/>
          </w:tcPr>
          <w:p>
            <w:pPr>
              <w:pStyle w:val="Normal"/>
              <w:widowControl w:val="false"/>
              <w:rPr>
                <w:color w:val="000000"/>
                <w:sz w:val="24"/>
                <w:szCs w:val="24"/>
              </w:rPr>
            </w:pPr>
            <w:r>
              <w:rPr>
                <w:color w:val="000000"/>
                <w:sz w:val="24"/>
                <w:szCs w:val="24"/>
              </w:rPr>
              <w:t xml:space="preserve">     </w:t>
            </w:r>
            <w:r>
              <w:rPr>
                <w:color w:val="000000"/>
                <w:sz w:val="24"/>
                <w:szCs w:val="24"/>
              </w:rPr>
              <w:t>1. Полное название направляющей организации, школы, ________________________________________________________</w:t>
            </w:r>
          </w:p>
        </w:tc>
        <w:tc>
          <w:tcPr>
            <w:tcW w:w="72" w:type="dxa"/>
            <w:tcBorders/>
          </w:tcPr>
          <w:p>
            <w:pPr>
              <w:pStyle w:val="Normal"/>
              <w:widowControl w:val="false"/>
              <w:rPr/>
            </w:pPr>
            <w:r>
              <w:rPr/>
            </w:r>
          </w:p>
        </w:tc>
      </w:tr>
      <w:tr>
        <w:trPr>
          <w:trHeight w:val="315" w:hRule="atLeast"/>
        </w:trPr>
        <w:tc>
          <w:tcPr>
            <w:tcW w:w="14316" w:type="dxa"/>
            <w:gridSpan w:val="9"/>
            <w:tcBorders/>
            <w:shd w:color="auto" w:fill="auto" w:val="clear"/>
            <w:vAlign w:val="center"/>
          </w:tcPr>
          <w:p>
            <w:pPr>
              <w:pStyle w:val="Normal"/>
              <w:widowControl w:val="false"/>
              <w:rPr>
                <w:color w:val="000000"/>
                <w:sz w:val="24"/>
                <w:szCs w:val="24"/>
              </w:rPr>
            </w:pPr>
            <w:r>
              <w:rPr>
                <w:color w:val="000000"/>
                <w:sz w:val="24"/>
                <w:szCs w:val="24"/>
              </w:rPr>
              <w:t xml:space="preserve">     </w:t>
            </w:r>
            <w:r>
              <w:rPr>
                <w:color w:val="000000"/>
                <w:sz w:val="24"/>
                <w:szCs w:val="24"/>
              </w:rPr>
              <w:t>2. Муниципальное образование________________________телефон__________________________</w:t>
            </w:r>
          </w:p>
        </w:tc>
        <w:tc>
          <w:tcPr>
            <w:tcW w:w="72" w:type="dxa"/>
            <w:tcBorders/>
          </w:tcPr>
          <w:p>
            <w:pPr>
              <w:pStyle w:val="Normal"/>
              <w:widowControl w:val="false"/>
              <w:rPr/>
            </w:pPr>
            <w:r>
              <w:rPr/>
            </w:r>
          </w:p>
        </w:tc>
      </w:tr>
      <w:tr>
        <w:trPr>
          <w:trHeight w:val="315" w:hRule="atLeast"/>
        </w:trPr>
        <w:tc>
          <w:tcPr>
            <w:tcW w:w="14316" w:type="dxa"/>
            <w:gridSpan w:val="9"/>
            <w:tcBorders/>
            <w:shd w:color="auto" w:fill="auto" w:val="clear"/>
            <w:vAlign w:val="center"/>
          </w:tcPr>
          <w:p>
            <w:pPr>
              <w:pStyle w:val="Normal"/>
              <w:widowControl w:val="false"/>
              <w:rPr>
                <w:color w:val="000000"/>
                <w:sz w:val="24"/>
                <w:szCs w:val="24"/>
              </w:rPr>
            </w:pPr>
            <w:r>
              <w:rPr>
                <w:color w:val="000000"/>
                <w:sz w:val="24"/>
                <w:szCs w:val="24"/>
              </w:rPr>
              <w:t xml:space="preserve">     </w:t>
            </w:r>
            <w:r>
              <w:rPr>
                <w:color w:val="000000"/>
                <w:sz w:val="24"/>
                <w:szCs w:val="24"/>
              </w:rPr>
              <w:t>3. Электронный адрес образовательного учреждения  для  обратной связи ______________________________________</w:t>
            </w:r>
          </w:p>
        </w:tc>
        <w:tc>
          <w:tcPr>
            <w:tcW w:w="72" w:type="dxa"/>
            <w:tcBorders/>
          </w:tcPr>
          <w:p>
            <w:pPr>
              <w:pStyle w:val="Normal"/>
              <w:widowControl w:val="false"/>
              <w:rPr/>
            </w:pPr>
            <w:r>
              <w:rPr/>
            </w:r>
          </w:p>
        </w:tc>
      </w:tr>
      <w:tr>
        <w:trPr>
          <w:trHeight w:val="315" w:hRule="atLeast"/>
        </w:trPr>
        <w:tc>
          <w:tcPr>
            <w:tcW w:w="14316" w:type="dxa"/>
            <w:gridSpan w:val="9"/>
            <w:tcBorders/>
            <w:shd w:color="000000" w:fill="FFFFFF" w:val="clear"/>
            <w:vAlign w:val="center"/>
          </w:tcPr>
          <w:p>
            <w:pPr>
              <w:pStyle w:val="Normal"/>
              <w:widowControl w:val="false"/>
              <w:rPr>
                <w:color w:val="000000"/>
                <w:sz w:val="24"/>
                <w:szCs w:val="24"/>
              </w:rPr>
            </w:pPr>
            <w:r>
              <w:rPr>
                <w:color w:val="000000"/>
                <w:sz w:val="24"/>
                <w:szCs w:val="24"/>
              </w:rPr>
              <w:t xml:space="preserve">     </w:t>
            </w:r>
            <w:r>
              <w:rPr>
                <w:color w:val="000000"/>
                <w:sz w:val="24"/>
                <w:szCs w:val="24"/>
              </w:rPr>
              <w:t>4. Сопровождающий (ФИО)  ____________________________________________________________________________</w:t>
            </w:r>
          </w:p>
        </w:tc>
        <w:tc>
          <w:tcPr>
            <w:tcW w:w="72" w:type="dxa"/>
            <w:tcBorders/>
          </w:tcPr>
          <w:p>
            <w:pPr>
              <w:pStyle w:val="Normal"/>
              <w:widowControl w:val="false"/>
              <w:rPr/>
            </w:pPr>
            <w:r>
              <w:rPr/>
            </w:r>
          </w:p>
        </w:tc>
      </w:tr>
      <w:tr>
        <w:trPr>
          <w:trHeight w:val="315" w:hRule="atLeast"/>
        </w:trPr>
        <w:tc>
          <w:tcPr>
            <w:tcW w:w="14316" w:type="dxa"/>
            <w:gridSpan w:val="9"/>
            <w:tcBorders/>
            <w:shd w:color="auto" w:fill="auto" w:val="clear"/>
            <w:vAlign w:val="center"/>
          </w:tcPr>
          <w:p>
            <w:pPr>
              <w:pStyle w:val="Normal"/>
              <w:widowControl w:val="false"/>
              <w:rPr>
                <w:color w:val="000000"/>
                <w:sz w:val="24"/>
                <w:szCs w:val="24"/>
              </w:rPr>
            </w:pPr>
            <w:r>
              <w:rPr>
                <w:color w:val="000000"/>
                <w:sz w:val="24"/>
                <w:szCs w:val="24"/>
              </w:rPr>
              <w:t xml:space="preserve">     </w:t>
            </w:r>
            <w:r>
              <w:rPr>
                <w:color w:val="000000"/>
                <w:sz w:val="24"/>
                <w:szCs w:val="24"/>
              </w:rPr>
              <w:t>5. Мобильный  телефон_______________________ Электронный адрес ____________________ (указывать обязательно)</w:t>
            </w:r>
          </w:p>
        </w:tc>
        <w:tc>
          <w:tcPr>
            <w:tcW w:w="72" w:type="dxa"/>
            <w:tcBorders/>
          </w:tcPr>
          <w:p>
            <w:pPr>
              <w:pStyle w:val="Normal"/>
              <w:widowControl w:val="false"/>
              <w:rPr/>
            </w:pPr>
            <w:r>
              <w:rPr/>
            </w:r>
          </w:p>
        </w:tc>
      </w:tr>
      <w:tr>
        <w:trPr>
          <w:trHeight w:val="315" w:hRule="atLeast"/>
        </w:trPr>
        <w:tc>
          <w:tcPr>
            <w:tcW w:w="14316" w:type="dxa"/>
            <w:gridSpan w:val="9"/>
            <w:tcBorders/>
            <w:shd w:color="auto" w:fill="auto" w:val="clear"/>
            <w:vAlign w:val="center"/>
          </w:tcPr>
          <w:p>
            <w:pPr>
              <w:pStyle w:val="Normal"/>
              <w:widowControl w:val="false"/>
              <w:rPr>
                <w:color w:val="000000"/>
                <w:sz w:val="24"/>
                <w:szCs w:val="24"/>
              </w:rPr>
            </w:pPr>
            <w:r>
              <w:rPr>
                <w:color w:val="000000"/>
                <w:sz w:val="24"/>
                <w:szCs w:val="24"/>
              </w:rPr>
              <w:t xml:space="preserve">     </w:t>
            </w:r>
            <w:r>
              <w:rPr>
                <w:color w:val="000000"/>
                <w:sz w:val="24"/>
                <w:szCs w:val="24"/>
              </w:rPr>
              <w:t>6. Должность, место  работы ____________________________________________________________________________</w:t>
            </w:r>
          </w:p>
        </w:tc>
        <w:tc>
          <w:tcPr>
            <w:tcW w:w="72" w:type="dxa"/>
            <w:tcBorders/>
          </w:tcPr>
          <w:p>
            <w:pPr>
              <w:pStyle w:val="Normal"/>
              <w:widowControl w:val="false"/>
              <w:rPr/>
            </w:pPr>
            <w:r>
              <w:rPr/>
            </w:r>
          </w:p>
        </w:tc>
      </w:tr>
      <w:tr>
        <w:trPr>
          <w:trHeight w:val="315" w:hRule="atLeast"/>
        </w:trPr>
        <w:tc>
          <w:tcPr>
            <w:tcW w:w="14316" w:type="dxa"/>
            <w:gridSpan w:val="9"/>
            <w:tcBorders/>
            <w:shd w:color="000000" w:fill="FFFFFF" w:val="clear"/>
            <w:vAlign w:val="center"/>
          </w:tcPr>
          <w:p>
            <w:pPr>
              <w:pStyle w:val="Normal"/>
              <w:widowControl w:val="false"/>
              <w:rPr>
                <w:color w:val="000000"/>
                <w:sz w:val="24"/>
                <w:szCs w:val="24"/>
              </w:rPr>
            </w:pPr>
            <w:r>
              <w:rPr>
                <w:color w:val="000000"/>
                <w:sz w:val="24"/>
                <w:szCs w:val="24"/>
              </w:rPr>
              <w:t xml:space="preserve">     </w:t>
            </w:r>
            <w:r>
              <w:rPr>
                <w:color w:val="000000"/>
                <w:sz w:val="24"/>
                <w:szCs w:val="24"/>
              </w:rPr>
              <w:t>7. ФИО руководителя направляющей организации __________________________________________________________</w:t>
            </w:r>
          </w:p>
        </w:tc>
        <w:tc>
          <w:tcPr>
            <w:tcW w:w="72" w:type="dxa"/>
            <w:tcBorders/>
          </w:tcPr>
          <w:p>
            <w:pPr>
              <w:pStyle w:val="Normal"/>
              <w:widowControl w:val="false"/>
              <w:rPr/>
            </w:pPr>
            <w:r>
              <w:rPr/>
            </w:r>
          </w:p>
        </w:tc>
      </w:tr>
    </w:tbl>
    <w:p>
      <w:pPr>
        <w:pStyle w:val="Normal"/>
        <w:jc w:val="center"/>
        <w:rPr>
          <w:rFonts w:eastAsia="Calibri"/>
          <w:sz w:val="28"/>
          <w:szCs w:val="28"/>
          <w:lang w:eastAsia="en-US"/>
        </w:rPr>
      </w:pPr>
      <w:r>
        <w:rPr>
          <w:rFonts w:eastAsia="Calibri"/>
          <w:sz w:val="28"/>
          <w:szCs w:val="28"/>
          <w:lang w:eastAsia="en-US"/>
        </w:rPr>
      </w:r>
    </w:p>
    <w:sectPr>
      <w:type w:val="nextPage"/>
      <w:pgSz w:orient="landscape" w:w="15840" w:h="12240"/>
      <w:pgMar w:left="992" w:right="851" w:gutter="0" w:header="0" w:top="1134" w:footer="0" w:bottom="851"/>
      <w:pgNumType w:fmt="decimal"/>
      <w:formProt w:val="false"/>
      <w:textDirection w:val="lrTb"/>
      <w:docGrid w:type="default" w:linePitch="272"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Arial">
    <w:charset w:val="01"/>
    <w:family w:val="roman"/>
    <w:pitch w:val="default"/>
  </w:font>
  <w:font w:name="Tahoma">
    <w:charset w:val="01"/>
    <w:family w:val="roman"/>
    <w:pitch w:val="default"/>
  </w:font>
  <w:font w:name="Trebuchet MS">
    <w:charset w:val="01"/>
    <w:family w:val="roman"/>
    <w:pitch w:val="default"/>
  </w:font>
  <w:font w:name="PT Astra Serif">
    <w:charset w:val="01"/>
    <w:family w:val="roman"/>
    <w:pitch w:val="default"/>
  </w:font>
  <w:font w:name="Calibri">
    <w:charset w:val="01"/>
    <w:family w:val="roman"/>
    <w:pitch w:val="default"/>
  </w:font>
  <w:font w:name="Times New Roman CYR">
    <w:charset w:val="01"/>
    <w:family w:val="roman"/>
    <w:pitch w:val="default"/>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f45c0"/>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
    <w:name w:val="Heading 1"/>
    <w:basedOn w:val="Normal"/>
    <w:next w:val="Normal"/>
    <w:qFormat/>
    <w:rsid w:val="00f50037"/>
    <w:pPr>
      <w:keepNext w:val="true"/>
      <w:ind w:right="638" w:firstLine="567"/>
      <w:jc w:val="right"/>
      <w:outlineLvl w:val="0"/>
    </w:pPr>
    <w:rPr>
      <w:sz w:val="28"/>
    </w:rPr>
  </w:style>
  <w:style w:type="paragraph" w:styleId="2">
    <w:name w:val="Heading 2"/>
    <w:basedOn w:val="Normal"/>
    <w:next w:val="Normal"/>
    <w:qFormat/>
    <w:rsid w:val="00f50037"/>
    <w:pPr>
      <w:keepNext w:val="true"/>
      <w:pageBreakBefore/>
      <w:spacing w:before="0" w:after="120"/>
      <w:jc w:val="both"/>
      <w:outlineLvl w:val="1"/>
    </w:pPr>
    <w:rPr>
      <w:rFonts w:ascii="Arial" w:hAnsi="Arial" w:cs="Arial"/>
      <w:bCs/>
      <w:iCs/>
      <w:sz w:val="26"/>
      <w:szCs w:val="26"/>
    </w:rPr>
  </w:style>
  <w:style w:type="paragraph" w:styleId="3">
    <w:name w:val="Heading 3"/>
    <w:basedOn w:val="Normal"/>
    <w:next w:val="Normal"/>
    <w:qFormat/>
    <w:rsid w:val="00f50037"/>
    <w:pPr>
      <w:keepNext w:val="true"/>
      <w:spacing w:before="240" w:after="60"/>
      <w:jc w:val="both"/>
      <w:outlineLvl w:val="2"/>
    </w:pPr>
    <w:rPr>
      <w:rFonts w:ascii="Arial" w:hAnsi="Arial" w:cs="Arial"/>
      <w:bCs/>
      <w:i/>
      <w:sz w:val="24"/>
      <w:szCs w:val="24"/>
      <w:u w:val="single"/>
    </w:rPr>
  </w:style>
  <w:style w:type="character" w:styleId="DefaultParagraphFont" w:default="1">
    <w:name w:val="Default Paragraph Font"/>
    <w:uiPriority w:val="1"/>
    <w:semiHidden/>
    <w:unhideWhenUsed/>
    <w:qFormat/>
    <w:rPr/>
  </w:style>
  <w:style w:type="character" w:styleId="-">
    <w:name w:val="Hyperlink"/>
    <w:basedOn w:val="DefaultParagraphFont"/>
    <w:uiPriority w:val="99"/>
    <w:unhideWhenUsed/>
    <w:rsid w:val="00e43e61"/>
    <w:rPr>
      <w:color w:val="0000FF"/>
      <w:u w:val="single"/>
    </w:rPr>
  </w:style>
  <w:style w:type="character" w:styleId="PlaceholderText">
    <w:name w:val="Placeholder Text"/>
    <w:basedOn w:val="DefaultParagraphFont"/>
    <w:uiPriority w:val="99"/>
    <w:semiHidden/>
    <w:qFormat/>
    <w:rsid w:val="005b5783"/>
    <w:rPr>
      <w:color w:val="808080"/>
    </w:rPr>
  </w:style>
  <w:style w:type="character" w:styleId="Style11" w:customStyle="1">
    <w:name w:val="Текст выноски Знак"/>
    <w:basedOn w:val="DefaultParagraphFont"/>
    <w:link w:val="BalloonText"/>
    <w:uiPriority w:val="99"/>
    <w:semiHidden/>
    <w:qFormat/>
    <w:rsid w:val="005b5783"/>
    <w:rPr>
      <w:rFonts w:ascii="Tahoma" w:hAnsi="Tahoma" w:eastAsia="Calibri" w:cs="Tahoma"/>
      <w:sz w:val="16"/>
      <w:szCs w:val="16"/>
      <w:lang w:eastAsia="en-US"/>
    </w:rPr>
  </w:style>
  <w:style w:type="character" w:styleId="Bodytext4" w:customStyle="1">
    <w:name w:val="Body text (4)_"/>
    <w:basedOn w:val="DefaultParagraphFont"/>
    <w:link w:val="Bodytext41"/>
    <w:qFormat/>
    <w:rsid w:val="007422a3"/>
    <w:rPr>
      <w:b/>
      <w:bCs/>
      <w:spacing w:val="6"/>
      <w:sz w:val="25"/>
      <w:szCs w:val="25"/>
      <w:shd w:fill="FFFFFF" w:val="clear"/>
    </w:rPr>
  </w:style>
  <w:style w:type="character" w:styleId="Bodytext" w:customStyle="1">
    <w:name w:val="Body text_"/>
    <w:basedOn w:val="DefaultParagraphFont"/>
    <w:link w:val="11"/>
    <w:qFormat/>
    <w:rsid w:val="007422a3"/>
    <w:rPr>
      <w:spacing w:val="5"/>
      <w:sz w:val="25"/>
      <w:szCs w:val="25"/>
      <w:shd w:fill="FFFFFF" w:val="clear"/>
    </w:rPr>
  </w:style>
  <w:style w:type="character" w:styleId="UnresolvedMention" w:customStyle="1">
    <w:name w:val="Unresolved Mention"/>
    <w:basedOn w:val="DefaultParagraphFont"/>
    <w:uiPriority w:val="99"/>
    <w:semiHidden/>
    <w:unhideWhenUsed/>
    <w:qFormat/>
    <w:rsid w:val="006f74fd"/>
    <w:rPr>
      <w:color w:val="605E5C"/>
      <w:shd w:fill="E1DFDD" w:val="clear"/>
    </w:rPr>
  </w:style>
  <w:style w:type="character" w:styleId="Style12">
    <w:name w:val="FollowedHyperlink"/>
    <w:basedOn w:val="DefaultParagraphFont"/>
    <w:uiPriority w:val="99"/>
    <w:semiHidden/>
    <w:unhideWhenUsed/>
    <w:rsid w:val="00851c90"/>
    <w:rPr>
      <w:color w:val="800080" w:themeColor="followedHyperlink"/>
      <w:u w:val="single"/>
    </w:rPr>
  </w:style>
  <w:style w:type="character" w:styleId="Style13" w:customStyle="1">
    <w:name w:val="Основной текст Знак"/>
    <w:basedOn w:val="DefaultParagraphFont"/>
    <w:uiPriority w:val="1"/>
    <w:qFormat/>
    <w:rsid w:val="00381ce5"/>
    <w:rPr>
      <w:rFonts w:ascii="Trebuchet MS" w:hAnsi="Trebuchet MS" w:eastAsia="Trebuchet MS" w:cs="Trebuchet MS"/>
      <w:sz w:val="24"/>
      <w:szCs w:val="24"/>
      <w:lang w:eastAsia="en-US"/>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link w:val="Style13"/>
    <w:uiPriority w:val="1"/>
    <w:qFormat/>
    <w:rsid w:val="00381ce5"/>
    <w:pPr>
      <w:widowControl w:val="false"/>
    </w:pPr>
    <w:rPr>
      <w:rFonts w:ascii="Trebuchet MS" w:hAnsi="Trebuchet MS" w:eastAsia="Trebuchet MS" w:cs="Trebuchet MS"/>
      <w:sz w:val="24"/>
      <w:szCs w:val="24"/>
      <w:lang w:eastAsia="en-US"/>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ListParagraph">
    <w:name w:val="List Paragraph"/>
    <w:basedOn w:val="Normal"/>
    <w:uiPriority w:val="34"/>
    <w:qFormat/>
    <w:rsid w:val="00411000"/>
    <w:pPr>
      <w:spacing w:lineRule="auto" w:line="276" w:before="0" w:after="200"/>
      <w:ind w:left="720" w:hanging="0"/>
      <w:contextualSpacing/>
    </w:pPr>
    <w:rPr>
      <w:rFonts w:ascii="Calibri" w:hAnsi="Calibri" w:eastAsia="Calibri"/>
      <w:sz w:val="22"/>
      <w:szCs w:val="22"/>
      <w:lang w:eastAsia="en-US"/>
    </w:rPr>
  </w:style>
  <w:style w:type="paragraph" w:styleId="BalloonText">
    <w:name w:val="Balloon Text"/>
    <w:basedOn w:val="Normal"/>
    <w:link w:val="Style11"/>
    <w:uiPriority w:val="99"/>
    <w:semiHidden/>
    <w:unhideWhenUsed/>
    <w:qFormat/>
    <w:rsid w:val="005b5783"/>
    <w:pPr/>
    <w:rPr>
      <w:rFonts w:ascii="Tahoma" w:hAnsi="Tahoma" w:eastAsia="Calibri" w:cs="Tahoma"/>
      <w:sz w:val="16"/>
      <w:szCs w:val="16"/>
      <w:lang w:eastAsia="en-US"/>
    </w:rPr>
  </w:style>
  <w:style w:type="paragraph" w:styleId="Style19" w:customStyle="1">
    <w:name w:val="Адресат"/>
    <w:basedOn w:val="Normal"/>
    <w:qFormat/>
    <w:rsid w:val="007422a3"/>
    <w:pPr>
      <w:widowControl w:val="false"/>
      <w:spacing w:before="60" w:after="0"/>
      <w:ind w:left="7258" w:hanging="0"/>
    </w:pPr>
    <w:rPr>
      <w:sz w:val="28"/>
    </w:rPr>
  </w:style>
  <w:style w:type="paragraph" w:styleId="Bodytext41" w:customStyle="1">
    <w:name w:val="Body text (4)"/>
    <w:basedOn w:val="Normal"/>
    <w:link w:val="Bodytext4"/>
    <w:qFormat/>
    <w:rsid w:val="007422a3"/>
    <w:pPr>
      <w:widowControl w:val="false"/>
      <w:shd w:val="clear" w:color="auto" w:fill="FFFFFF"/>
      <w:spacing w:lineRule="atLeast" w:line="0" w:before="0" w:after="300"/>
      <w:jc w:val="center"/>
    </w:pPr>
    <w:rPr>
      <w:b/>
      <w:bCs/>
      <w:spacing w:val="6"/>
      <w:sz w:val="25"/>
      <w:szCs w:val="25"/>
    </w:rPr>
  </w:style>
  <w:style w:type="paragraph" w:styleId="11" w:customStyle="1">
    <w:name w:val="Основной текст1"/>
    <w:basedOn w:val="Normal"/>
    <w:link w:val="Bodytext"/>
    <w:qFormat/>
    <w:rsid w:val="007422a3"/>
    <w:pPr>
      <w:widowControl w:val="false"/>
      <w:shd w:val="clear" w:color="auto" w:fill="FFFFFF"/>
      <w:spacing w:lineRule="exact" w:line="371" w:before="300" w:after="0"/>
      <w:ind w:firstLine="700"/>
      <w:jc w:val="both"/>
    </w:pPr>
    <w:rPr>
      <w:spacing w:val="5"/>
      <w:sz w:val="25"/>
      <w:szCs w:val="25"/>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saf.gulnazira@yandex.ru" TargetMode="External"/><Relationship Id="rId4" Type="http://schemas.openxmlformats.org/officeDocument/2006/relationships/hyperlink" Target="http://chemical-tournament.ru/reg" TargetMode="External"/><Relationship Id="rId5" Type="http://schemas.openxmlformats.org/officeDocument/2006/relationships/hyperlink" Target="mailto:saf.gulnazira@yandex.ru" TargetMode="External"/><Relationship Id="rId6" Type="http://schemas.openxmlformats.org/officeDocument/2006/relationships/image" Target="media/image2.png"/><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CA379-F7EA-4987-922A-BE51DF8E7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LibreOffice/7.5.6.2$Linux_X86_64 LibreOffice_project/50$Build-2</Application>
  <AppVersion>15.0000</AppVersion>
  <Pages>6</Pages>
  <Words>1497</Words>
  <Characters>10951</Characters>
  <CharactersWithSpaces>12599</CharactersWithSpaces>
  <Paragraphs>145</Paragraphs>
  <Company>Default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2024-10-18T07:37:00Z</dcterms:created>
  <dc:creator>User</dc:creator>
  <dc:description/>
  <dc:language>ru-RU</dc:language>
  <cp:lastModifiedBy>Olga</cp:lastModifiedBy>
  <cp:lastPrinted>2023-10-16T11:32:00Z</cp:lastPrinted>
  <dcterms:modified xsi:type="dcterms:W3CDTF">2024-10-18T07:37:00Z</dcterms:modified>
  <cp:revision>2</cp:revision>
  <dc:subject/>
  <dc:title>Задачи республиканской олимпиады 2004 года</dc:title>
</cp:coreProperties>
</file>

<file path=docProps/custom.xml><?xml version="1.0" encoding="utf-8"?>
<Properties xmlns="http://schemas.openxmlformats.org/officeDocument/2006/custom-properties" xmlns:vt="http://schemas.openxmlformats.org/officeDocument/2006/docPropsVTypes"/>
</file>