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0.0" w:type="dxa"/>
        <w:jc w:val="center"/>
        <w:tblLayout w:type="fixed"/>
        <w:tblLook w:val="0000"/>
      </w:tblPr>
      <w:tblGrid>
        <w:gridCol w:w="591"/>
        <w:gridCol w:w="4528"/>
        <w:gridCol w:w="235"/>
        <w:gridCol w:w="1182"/>
        <w:gridCol w:w="4394"/>
        <w:tblGridChange w:id="0">
          <w:tblGrid>
            <w:gridCol w:w="591"/>
            <w:gridCol w:w="4528"/>
            <w:gridCol w:w="235"/>
            <w:gridCol w:w="1182"/>
            <w:gridCol w:w="4394"/>
          </w:tblGrid>
        </w:tblGridChange>
      </w:tblGrid>
      <w:tr>
        <w:trPr>
          <w:cantSplit w:val="0"/>
          <w:trHeight w:val="112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ИСПОЛНИТЕЛЬНЫЙ КОМИТЕТ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МУНИЦИПАЛЬНОГО ОБРАЗОВАНИЯ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ГОРОДА КАЗАНИ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9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109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УПРАВЛЕНИЕ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04" w:lineRule="auto"/>
              <w:ind w:left="0" w:right="0" w:firstLine="95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ОБРАЗОВАНИЯ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ahdf00weg4wn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09625" cy="80899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89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КАЗАН ШӘҺӘРЕ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МУНИЦИПАЛЬ БЕРӘМЛЕГЕНЕҢ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БАШКАРМА КОМИТЕТЫ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9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МӘГАРИФ</w:t>
            </w:r>
          </w:p>
          <w:p w:rsidR="00000000" w:rsidDel="00000000" w:rsidP="00000000" w:rsidRDefault="00000000" w:rsidRPr="00000000" w14:paraId="0000001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ИДАРӘСЕ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7" w:hRule="atLeast"/>
          <w:tblHeader w:val="0"/>
        </w:trPr>
        <w:tc>
          <w:tcPr>
            <w:gridSpan w:val="5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10796</wp:posOffset>
                </wp:positionH>
                <wp:positionV relativeFrom="paragraph">
                  <wp:posOffset>26034</wp:posOffset>
                </wp:positionV>
                <wp:extent cx="6111240" cy="0"/>
                <wp:effectExtent b="6350" l="0" r="0" t="635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240" cy="0"/>
                        </a:xfrm>
                        <a:prstGeom prst="line"/>
                        <a:solidFill>
                          <a:srgbClr val="FFFFFF"/>
                        </a:solidFill>
                        <a:ln cap="flat" cmpd="sng"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10796</wp:posOffset>
                </wp:positionH>
                <wp:positionV relativeFrom="paragraph">
                  <wp:posOffset>26034</wp:posOffset>
                </wp:positionV>
                <wp:extent cx="611124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2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71"/>
        </w:tabs>
        <w:spacing w:after="0" w:before="0" w:line="288" w:lineRule="auto"/>
        <w:ind w:left="0" w:right="-1559" w:firstLine="113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</w:t>
        <w:tab/>
        <w:t xml:space="preserve">БОЕРЫК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-155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66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38"/>
        <w:tblGridChange w:id="0">
          <w:tblGrid>
            <w:gridCol w:w="79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 организации питания учащихся муниципальных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общеобразовательных учреждений в 2025/2026 учебном году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целях обеспечения полноценным питанием учащихся муниципальных общеобразовательных учреждений г.Казани, выполнения требований СанПиН</w:t>
        <w:br w:type="textWrapping"/>
        <w:t xml:space="preserve">2.3/2.4.3590-20 в части организации здорового питания, во исполнение постановления Исполнительного комитета г.Казани от 25.12.2023 №4319 «Об обеспечении питанием учащихся муниципальных общеобразовательных учреждений г.Казани», с учетом изменений от 16.02.2024 №547, 09.12.2024 №5084 (далее – постановление), а также для осуществления дополнительных мер социальной поддержки отдельных категорий учащихся, рационального использования бюджетных средств,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приказываю: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hanging="11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Возложить на руководителей муниципальных общеобразовательных учреждений персональную ответственность за организацию горячего питания учащихся.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Утвердить ассортимент продуктов, входящих в продовольственный набор для учащихся муниципальных общеобразовательных учреждений, обучающихся на дому (Приложение №1).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Начальникам районных отделов Управления образования г.Казани: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довести данный приказ до руководителей муниципальных общеобразовательных учреждений г.Казани;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контроль за организацией питания учащихся муниципальных общеобразовательных учреждений;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представление информации о предоставлении гарантий, прав и льгот учащимся, указанных в п.4.1 постановления (с учетом изменений)  посредством использования Государственной информационной системы «Единая централизованная цифровая платформа в цифровой сфере» (далее ЕЦП) два раза в год (не позднее 1 января и 1 сентября) путем направления списков учащихся в управление образования на электронный адрес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nafisa.zakirova@tatar.ru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соответствии с форматами, установленными оператором ЕЦП (Приложение №2) по категориям: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26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1- 4 классы;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26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5-11 классы;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26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1-11 классы – члены семьи участников специальной военной операции (далее – СВО);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представление сводной заявки (Приложения №3-6) в АО «Департамент продовольствия и социального питания г.Казани» на выдачу продовольственных наборов ежемесячно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позднее 1-го числа следующего месяца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через электронный документооборот по следующим категориям: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26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1-11 классы - обучающиеся на дому, нуждающиеся в дополнительной социальной поддержке (в т.ч. «беженцы»);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26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1-11 классы - учащиеся с ограниченными возможностями здоровья, обучающиеся на дому;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26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1-11 классы – члены семьи участников СВО, обучающиеся на дому;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26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5-11 классы - обучающиеся на дому, за исключением вышеуказанных категорий;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представление сводного реестра льготной категории учащихся и детей с ОВЗ (Приложения №7-10) в  Управление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25-го числа месяца, предыдущего отчетному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электронный адрес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nafisa.zakirova@tatar.ru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представление документов в планово-экономический отдел для замены бесплатного двухразового питания обучающимися с ограниченными возможностями здоровья, обучение которых организовано на дому, денежной компенсаций в сроки, указанные в постановлении;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представить информацию о количестве льготников (Приложение №11)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4-го числа месяца, следующего за отчетным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Управление образования г.Казани через электронный документооборот (ЭДО).       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Руководителям муниципальных общеобразовательных учреждений г.Казани: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организовать горячее питание в соответствии с требованиями СанПиН 2.3/2.4.3590-20 «Санитарно-эпидемиологические требования к организации общественного питания населения», методическими рекомендациями к организации общественного питания населения 2.3.6.0233/21 и методическими рекомендациями по организации питания обучающихся общеобразовательных организаций 2.4.01.79-20, а также в соответствии с постановлением;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своевременное прохождение медицинского осмотра работников пищеблока;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принять к исполнению двухнедельное меню для обучающихся, утвержденное руководителем АО «Департамент продовольствия и социального питания г.Казани», согласованное руководителем образовательной организации;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строгое соблюдение технологии приготовления блюд, сроков и условий хранения пищевых продуктов, ежедневно снимать суточную пробу готовых продуктов;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осуществлять выдачу готовой пищи только после снятия пробы бракеражной комиссии в составе не менее трех человек с регистрацией результатов бракеража в специальном журнале;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организовать ежедневный родительский контроль за организацией питания детей в общеобразовательных организациях согласно методических рекомендаций от 18.05.2020 MP 2.4.0180-20 «Родительский контроль за организацией горячего питания детей в общеобразовательных организациях», утвержденной Федеральной службой по надзору в сфере защиты прав потребителей и благополучия человека;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размещать на официальных сайтах общеобразовательных организаций в информационно-телекоммуникационной сети «Интернет» информацию об условиях организации питания детей, в том числе ежедневное меню в соответствии с требованиями законодательства в сфере образования и санитарного законодательства;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bookmarkStart w:colFirst="0" w:colLast="0" w:name="_4tw8gvcvypl1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размещать меню горячего питания, обучающихся по образовательным программам начального общего образования в виде электронной таблицы ежедневно в разделе «food» на сайте общеобразовательной организации в ГИС «Электронное образование Республики Татарстан», а также размещать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файл «Рейтинг общественной оценки» (findex.xlsx), типовое меню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календарь питания согласно формам и инструкциям, выложенных на сайте автоматического мониторинга и анализа ежедневного меню горячего питания обучающихся по образовательным программам начального общего образования (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https://мониторингпитание.рф/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организовать питьевой режим обучающихся;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разработать и утвердить график питания учащихся с учетом необходимого количества перемен, продолжительностью не менее 20 минут;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организацию бесплатного горячего питания и бесплатного предоставления набора продуктов питания учащимся 1-11-х классов общеобразовательных учреждений в соответствии с Положением о порядке организации питания учащихся муниципальных общеобразовательных учреждений, нуждающихся в дополнительной социальной поддержке;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вести учет фактического количества питающихся бесплатно;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организовать контроль за выдачей продовольственного набора учащимся муниципальных общеобразовательных учреждений, обучающихся на дому;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представить в районный отдел образования информацию о предоставлении гарантий, прав и льгот учащимся, указанных в п.4.1 постановления (с учетом изменений) посредством использования ЕЦП (Приложение №2) в сроки, установленные районным отделом образования;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представить в районный отдел образования заявки на выдачу продовольственных наборов (приложения 3-6), реестр льготной категории учащихся (приложения 7-10), а также документы для замены бесплатного двухразового питания обучающимися с ограниченными возможностями здоровья, обучение которых организовано на дому, денежной компенсаций согласно постановлению в сроки, установленные районным отделом образования.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 за выполнением данного приказа возложить на заместителя начальника Управления образования г.Казани А.О.Мачина.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4"/>
        </w:tabs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4"/>
        </w:tabs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4"/>
        </w:tabs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Начальник                                                                                           И.А. Ризванов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694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Приложение №1 к приказу Управления образования г.Казани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694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 __________ №_________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88" w:lineRule="auto"/>
        <w:ind w:left="-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88" w:lineRule="auto"/>
        <w:ind w:left="-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Ассортимент продуктов,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88" w:lineRule="auto"/>
        <w:ind w:left="-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входящих в продовольственный набор для учащихся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88" w:lineRule="auto"/>
        <w:ind w:left="-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согласно требований СанПин 2.3/2.4.3590-20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-567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920.0" w:type="dxa"/>
        <w:jc w:val="left"/>
        <w:tblInd w:w="1134.0" w:type="dxa"/>
        <w:tblLayout w:type="fixed"/>
        <w:tblLook w:val="0000"/>
      </w:tblPr>
      <w:tblGrid>
        <w:gridCol w:w="3261"/>
        <w:gridCol w:w="3659"/>
        <w:tblGridChange w:id="0">
          <w:tblGrid>
            <w:gridCol w:w="3261"/>
            <w:gridCol w:w="3659"/>
          </w:tblGrid>
        </w:tblGridChange>
      </w:tblGrid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928" w:right="0" w:hanging="928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Ед. измерения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Крупы, бобовые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Макаронные изделия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Птица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Мясо  или  мясные п/ф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 или шт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Рыба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Сыр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Масло сливочное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Масло растительное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Яйцо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шт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Сахар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Чай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кг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1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000000"/>
        <w:vertAlign w:val="baseline"/>
      </w:rPr>
    </w:lvl>
  </w:abstractNum>
  <w:abstractNum w:abstractNumId="3">
    <w:lvl w:ilvl="0">
      <w:start w:val="3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about:blank" TargetMode="External"/><Relationship Id="rId10" Type="http://schemas.openxmlformats.org/officeDocument/2006/relationships/hyperlink" Target="https://xn--80afhjabb0ajcdecrl4ah.xn--p1ai/wp-content/uploads/2023/12/findex.xlsx" TargetMode="External"/><Relationship Id="rId9" Type="http://schemas.openxmlformats.org/officeDocument/2006/relationships/hyperlink" Target="mailto:nafisa.zakirova@tatar.ru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nafisa.zakirova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