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spacing w:after="200"/>
        <w:ind/>
        <w:jc w:val="center"/>
        <w:rPr>
          <w:b w:val="1"/>
          <w:color w:val="333333"/>
          <w:sz w:val="28"/>
        </w:rPr>
      </w:pPr>
      <w:bookmarkStart w:id="1" w:name="_GoBack"/>
      <w:bookmarkEnd w:id="1"/>
      <w:r>
        <w:rPr>
          <w:b w:val="1"/>
          <w:color w:val="333333"/>
          <w:sz w:val="28"/>
        </w:rPr>
        <w:t>Об активизации Центра информационно-психологических операций Украины с целью склонения жителей в совершение террористических и диверсионных преступлений</w:t>
      </w:r>
    </w:p>
    <w:p w14:paraId="03000000">
      <w:pPr>
        <w:spacing w:after="200"/>
        <w:ind/>
        <w:jc w:val="center"/>
        <w:rPr>
          <w:color w:val="333333"/>
          <w:sz w:val="28"/>
        </w:rPr>
      </w:pPr>
      <w:r>
        <w:rPr>
          <w:color w:val="333333"/>
          <w:sz w:val="28"/>
        </w:rPr>
        <w:t>Прокурор разъясняет</w:t>
      </w:r>
      <w:r>
        <w:rPr>
          <w:color w:val="333333"/>
          <w:sz w:val="28"/>
        </w:rPr>
        <w:t>:</w:t>
      </w:r>
    </w:p>
    <w:p w14:paraId="04000000">
      <w:pPr>
        <w:ind w:firstLine="709"/>
        <w:jc w:val="both"/>
        <w:rPr>
          <w:color w:val="333333"/>
          <w:sz w:val="28"/>
        </w:rPr>
      </w:pPr>
      <w:r>
        <w:rPr>
          <w:color w:val="333333"/>
          <w:sz w:val="28"/>
        </w:rPr>
        <w:t>Центр информационно-психологических операций – это подразделение в вооруженных силах Украины, главной задачей которого, является совершение психологических и информационных атак.</w:t>
      </w:r>
    </w:p>
    <w:p w14:paraId="05000000">
      <w:pPr>
        <w:ind w:firstLine="709"/>
        <w:jc w:val="both"/>
        <w:rPr>
          <w:color w:val="333333"/>
          <w:sz w:val="28"/>
        </w:rPr>
      </w:pPr>
      <w:r>
        <w:rPr>
          <w:color w:val="333333"/>
          <w:sz w:val="28"/>
        </w:rPr>
        <w:t>На фоне проведения Вооруженными силами РФ специальной военной операции на территории Украины активизировался Центр информационно-психологических операций Украины цел</w:t>
      </w:r>
      <w:r>
        <w:rPr>
          <w:color w:val="333333"/>
          <w:sz w:val="28"/>
        </w:rPr>
        <w:t>ь</w:t>
      </w:r>
      <w:r>
        <w:rPr>
          <w:color w:val="333333"/>
          <w:sz w:val="28"/>
        </w:rPr>
        <w:t xml:space="preserve">ю которого является склонить под воздействием обмана жителей </w:t>
      </w:r>
      <w:r>
        <w:rPr>
          <w:color w:val="333333"/>
          <w:sz w:val="28"/>
        </w:rPr>
        <w:t xml:space="preserve">нашей </w:t>
      </w:r>
      <w:r>
        <w:rPr>
          <w:color w:val="333333"/>
          <w:sz w:val="28"/>
        </w:rPr>
        <w:t>страны в совершение террористических и диверсионных преступлений.</w:t>
      </w:r>
    </w:p>
    <w:p w14:paraId="06000000">
      <w:pPr>
        <w:ind w:firstLine="708"/>
        <w:jc w:val="both"/>
        <w:rPr>
          <w:color w:val="333333"/>
          <w:sz w:val="28"/>
        </w:rPr>
      </w:pPr>
      <w:r>
        <w:rPr>
          <w:color w:val="333333"/>
          <w:sz w:val="28"/>
        </w:rPr>
        <w:t>Так согласно статьей 281 Уголовного кодекса Российской Федерации установлена уголовная ответственность за совершение диверсии. В частности, совершение взрыва, поджога или иных действий, направленных на разрушение или повреждение</w:t>
      </w:r>
      <w:r>
        <w:rPr>
          <w:color w:val="333333"/>
          <w:sz w:val="28"/>
        </w:rPr>
        <w:t xml:space="preserve"> предприятий, сооружений, объектов транспортной инфраструктуры и транспортных средств, средств связи, объектов жизн</w:t>
      </w:r>
      <w:r>
        <w:rPr>
          <w:color w:val="333333"/>
          <w:sz w:val="28"/>
        </w:rPr>
        <w:t>е</w:t>
      </w:r>
      <w:r>
        <w:rPr>
          <w:color w:val="333333"/>
          <w:sz w:val="28"/>
        </w:rPr>
        <w:t>обеспечения населения либо на нанесение вреда здоровью людей и (или) компонентам природной среды, если эти действия совершены в целях подрыва экономической безопасности и</w:t>
      </w:r>
      <w:r>
        <w:rPr>
          <w:color w:val="333333"/>
          <w:sz w:val="28"/>
        </w:rPr>
        <w:t xml:space="preserve"> </w:t>
      </w:r>
      <w:r>
        <w:rPr>
          <w:color w:val="333333"/>
          <w:sz w:val="28"/>
        </w:rPr>
        <w:t>(или) обороноспособности Российской Федерации – наказывается лишением свободы на срок от десяти до двадцати лет.</w:t>
      </w:r>
    </w:p>
    <w:p w14:paraId="07000000">
      <w:pPr>
        <w:ind w:firstLine="708"/>
        <w:jc w:val="both"/>
        <w:rPr>
          <w:color w:val="333333"/>
          <w:sz w:val="28"/>
        </w:rPr>
      </w:pPr>
      <w:r>
        <w:rPr>
          <w:color w:val="333333"/>
          <w:sz w:val="28"/>
        </w:rPr>
        <w:t>Так же деяния совершенные группой лиц по предварительному сговору или организационной группой</w:t>
      </w:r>
      <w:r>
        <w:rPr>
          <w:color w:val="333333"/>
          <w:sz w:val="28"/>
        </w:rPr>
        <w:t>;</w:t>
      </w:r>
      <w:r>
        <w:rPr>
          <w:color w:val="333333"/>
          <w:sz w:val="28"/>
        </w:rPr>
        <w:t xml:space="preserve"> либо повлекшие причинение значительного имущественного </w:t>
      </w:r>
      <w:r>
        <w:rPr>
          <w:color w:val="333333"/>
          <w:sz w:val="28"/>
        </w:rPr>
        <w:t>ущерба</w:t>
      </w:r>
      <w:r>
        <w:rPr>
          <w:color w:val="333333"/>
          <w:sz w:val="28"/>
        </w:rPr>
        <w:t>;</w:t>
      </w:r>
      <w:r>
        <w:rPr>
          <w:color w:val="333333"/>
          <w:sz w:val="28"/>
        </w:rPr>
        <w:t xml:space="preserve"> либо наступление иных тяжких последствий</w:t>
      </w:r>
      <w:r>
        <w:rPr>
          <w:color w:val="333333"/>
          <w:sz w:val="28"/>
        </w:rPr>
        <w:t xml:space="preserve">; </w:t>
      </w:r>
      <w:r>
        <w:rPr>
          <w:color w:val="333333"/>
          <w:sz w:val="28"/>
        </w:rPr>
        <w:t>либо, сопряженные с посягательством на объекты федерального органа исполнительной власти в области обороны, Вооруженных сил Российской Федерации, войск национальной гвардии Российской Федерации, органов государственной власти, привлекаемых для выполнения отдельных задач в области обороны, а также на объекты топливно-энергетического комплекса и организаций оборонно-промышленного комплекс, - наказываются лишением свободы на срок от двенадцати до двадцати лет.</w:t>
      </w:r>
    </w:p>
    <w:p w14:paraId="08000000">
      <w:pPr>
        <w:ind w:firstLine="708"/>
        <w:jc w:val="both"/>
        <w:rPr>
          <w:color w:val="333333"/>
          <w:sz w:val="28"/>
        </w:rPr>
      </w:pPr>
      <w:r>
        <w:rPr>
          <w:color w:val="333333"/>
          <w:sz w:val="28"/>
        </w:rPr>
        <w:t>Деяния сопряженные с посягательством на объекты использования атомной энергии, потенциально опасные биологические объекты либо с использованием ядерных материалов, радиоактивных веществ или источников радиоактивного излучения   либо ядовитых, отравляющих, токсичных опасных химических веществ или патогенных биологических агентов, либо повлекли причинение смерти человеку, - наказываются лишением свободы на срок от пятнадцати до двадцати лет или пожизненным лишением свободы.</w:t>
      </w:r>
    </w:p>
    <w:p w14:paraId="09000000">
      <w:pPr>
        <w:ind w:firstLine="708"/>
        <w:jc w:val="both"/>
        <w:rPr>
          <w:color w:val="333333"/>
          <w:sz w:val="28"/>
        </w:rPr>
      </w:pPr>
      <w:r>
        <w:rPr>
          <w:color w:val="333333"/>
          <w:sz w:val="28"/>
        </w:rPr>
        <w:t>Кроме того, статьей 281.1 Уголовного кодекса Российской Федерации установлена уголовная ответственность за склонение, вербовку или иное вовлечение лица в совершение хотя бы одного из преступлений</w:t>
      </w:r>
      <w:r>
        <w:rPr>
          <w:color w:val="333333"/>
          <w:sz w:val="28"/>
        </w:rPr>
        <w:t xml:space="preserve">, предусмотренных статьей 281 Уголовного кодекса Российской Федерации, вооружение или подготовка лица в целях совершения указанных преступлений, а равно финансирование диверсий. Указанные действия </w:t>
      </w:r>
      <w:r>
        <w:rPr>
          <w:color w:val="333333"/>
          <w:sz w:val="28"/>
        </w:rPr>
        <w:t>наказываются лишением свободы на срок от восьми до пятнадцати лет со штрафом в размере от трехсот тысяч до семисот тысяч рублей либо в размере заработной платы или иного дохода осужденного за период от двух до четырех лет либо без такового или пожизненным лишением свободы.</w:t>
      </w:r>
    </w:p>
    <w:p w14:paraId="0A000000">
      <w:pPr>
        <w:ind w:firstLine="708"/>
        <w:jc w:val="both"/>
        <w:rPr>
          <w:color w:val="333333"/>
          <w:sz w:val="28"/>
        </w:rPr>
      </w:pPr>
      <w:r>
        <w:rPr>
          <w:color w:val="333333"/>
          <w:sz w:val="28"/>
        </w:rPr>
        <w:t>Пособничество в совершении хотя бы одного из преступлений, предусмотренных статьей 281 Уголовного кодекса Российской Федерации, - наказывается лишением свободы на срок от десяти до двадцати лет.</w:t>
      </w:r>
    </w:p>
    <w:p w14:paraId="0B000000">
      <w:pPr>
        <w:ind w:firstLine="708"/>
        <w:jc w:val="both"/>
        <w:rPr>
          <w:color w:val="333333"/>
          <w:sz w:val="28"/>
        </w:rPr>
      </w:pPr>
      <w:r>
        <w:rPr>
          <w:color w:val="333333"/>
          <w:sz w:val="28"/>
        </w:rPr>
        <w:t>Чтобы не попасть под уловки вербовщиков районная прокуратура рекомендует следующее</w:t>
      </w:r>
      <w:r>
        <w:rPr>
          <w:color w:val="333333"/>
          <w:sz w:val="28"/>
        </w:rPr>
        <w:t>:</w:t>
      </w:r>
    </w:p>
    <w:p w14:paraId="0C000000">
      <w:pPr>
        <w:pStyle w:val="Style_2"/>
        <w:numPr>
          <w:ilvl w:val="0"/>
          <w:numId w:val="1"/>
        </w:numPr>
        <w:ind/>
        <w:jc w:val="both"/>
        <w:rPr>
          <w:color w:val="333333"/>
          <w:sz w:val="28"/>
        </w:rPr>
      </w:pPr>
      <w:r>
        <w:rPr>
          <w:color w:val="333333"/>
          <w:sz w:val="28"/>
        </w:rPr>
        <w:t>Не переходить по неизвестным ссылкам, не перезванивать по сомнительным номерам</w:t>
      </w:r>
      <w:r>
        <w:rPr>
          <w:color w:val="333333"/>
          <w:sz w:val="28"/>
        </w:rPr>
        <w:t>;</w:t>
      </w:r>
    </w:p>
    <w:p w14:paraId="0D000000">
      <w:pPr>
        <w:pStyle w:val="Style_2"/>
        <w:numPr>
          <w:ilvl w:val="0"/>
          <w:numId w:val="1"/>
        </w:numPr>
        <w:ind/>
        <w:jc w:val="both"/>
        <w:rPr>
          <w:color w:val="333333"/>
          <w:sz w:val="28"/>
        </w:rPr>
      </w:pPr>
      <w:r>
        <w:rPr>
          <w:color w:val="333333"/>
          <w:sz w:val="28"/>
        </w:rPr>
        <w:t>Никому не сообщать персональные данные, в том числе пароли и коды доступа. Не хранить данные карт на компьютере и в смартфоне</w:t>
      </w:r>
      <w:r>
        <w:rPr>
          <w:color w:val="333333"/>
          <w:sz w:val="28"/>
        </w:rPr>
        <w:t>;</w:t>
      </w:r>
    </w:p>
    <w:p w14:paraId="0E000000">
      <w:pPr>
        <w:pStyle w:val="Style_2"/>
        <w:numPr>
          <w:ilvl w:val="0"/>
          <w:numId w:val="1"/>
        </w:numPr>
        <w:ind/>
        <w:jc w:val="both"/>
        <w:rPr>
          <w:color w:val="333333"/>
          <w:sz w:val="28"/>
        </w:rPr>
      </w:pPr>
      <w:r>
        <w:rPr>
          <w:color w:val="333333"/>
          <w:sz w:val="28"/>
        </w:rPr>
        <w:t>Усилить настройки приватности в социальных сетях, ограничить доступ к своим фотографиям в социальных сетях</w:t>
      </w:r>
      <w:r>
        <w:rPr>
          <w:color w:val="333333"/>
          <w:sz w:val="28"/>
        </w:rPr>
        <w:t>;</w:t>
      </w:r>
    </w:p>
    <w:p w14:paraId="0F000000">
      <w:pPr>
        <w:pStyle w:val="Style_2"/>
        <w:numPr>
          <w:ilvl w:val="0"/>
          <w:numId w:val="1"/>
        </w:numPr>
        <w:ind/>
        <w:jc w:val="both"/>
        <w:rPr>
          <w:color w:val="333333"/>
          <w:sz w:val="28"/>
        </w:rPr>
      </w:pPr>
      <w:r>
        <w:rPr>
          <w:color w:val="333333"/>
          <w:sz w:val="28"/>
        </w:rPr>
        <w:t>Не вступать в непонятные, подозрительные группы, сообщества</w:t>
      </w:r>
      <w:r>
        <w:rPr>
          <w:color w:val="333333"/>
          <w:sz w:val="28"/>
        </w:rPr>
        <w:t>;</w:t>
      </w:r>
    </w:p>
    <w:p w14:paraId="10000000">
      <w:pPr>
        <w:pStyle w:val="Style_2"/>
        <w:numPr>
          <w:ilvl w:val="0"/>
          <w:numId w:val="1"/>
        </w:numPr>
        <w:ind/>
        <w:jc w:val="both"/>
        <w:rPr>
          <w:color w:val="333333"/>
          <w:sz w:val="28"/>
        </w:rPr>
      </w:pPr>
      <w:r>
        <w:rPr>
          <w:color w:val="333333"/>
          <w:sz w:val="28"/>
        </w:rPr>
        <w:t>Не отвечать на провокационные сообщения;</w:t>
      </w:r>
    </w:p>
    <w:p w14:paraId="11000000">
      <w:pPr>
        <w:pStyle w:val="Style_2"/>
        <w:numPr>
          <w:ilvl w:val="0"/>
          <w:numId w:val="1"/>
        </w:numPr>
        <w:ind/>
        <w:jc w:val="both"/>
        <w:rPr>
          <w:color w:val="333333"/>
          <w:sz w:val="28"/>
        </w:rPr>
      </w:pPr>
      <w:r>
        <w:rPr>
          <w:color w:val="333333"/>
          <w:sz w:val="28"/>
        </w:rPr>
        <w:t>Не переводить денежные средства, если Вас просит это сделать Ваш знакомый в социальной сети, возможно аккаунт был взломан</w:t>
      </w:r>
      <w:r>
        <w:rPr>
          <w:color w:val="333333"/>
          <w:sz w:val="28"/>
        </w:rPr>
        <w:t>, сначала необходимо связаться с этим человеком и уточнить действительно ли он просит деньги;</w:t>
      </w:r>
    </w:p>
    <w:p w14:paraId="12000000">
      <w:pPr>
        <w:pStyle w:val="Style_2"/>
        <w:numPr>
          <w:ilvl w:val="0"/>
          <w:numId w:val="1"/>
        </w:numPr>
        <w:ind/>
        <w:jc w:val="both"/>
        <w:rPr>
          <w:color w:val="333333"/>
          <w:sz w:val="28"/>
        </w:rPr>
      </w:pPr>
      <w:r>
        <w:rPr>
          <w:color w:val="333333"/>
          <w:sz w:val="28"/>
        </w:rPr>
        <w:t>Не принимать на хранение или для транспортировки сомнительные предметы.</w:t>
      </w:r>
    </w:p>
    <w:p w14:paraId="13000000">
      <w:pPr>
        <w:pStyle w:val="Style_2"/>
        <w:ind w:left="1068"/>
        <w:jc w:val="both"/>
        <w:rPr>
          <w:color w:val="333333"/>
          <w:sz w:val="28"/>
        </w:rPr>
      </w:pPr>
    </w:p>
    <w:p w14:paraId="14000000">
      <w:pPr>
        <w:pStyle w:val="Style_2"/>
        <w:ind w:left="1068"/>
        <w:jc w:val="both"/>
        <w:rPr>
          <w:color w:val="333333"/>
          <w:sz w:val="28"/>
        </w:rPr>
      </w:pPr>
    </w:p>
    <w:p w14:paraId="15000000">
      <w:pPr>
        <w:pStyle w:val="Style_2"/>
        <w:ind w:left="1068"/>
        <w:jc w:val="both"/>
        <w:rPr>
          <w:color w:val="333333"/>
          <w:sz w:val="28"/>
        </w:rPr>
      </w:pPr>
      <w:r>
        <w:rPr>
          <w:color w:val="333333"/>
          <w:sz w:val="28"/>
        </w:rPr>
        <w:t xml:space="preserve">Помощник прокурора </w:t>
      </w:r>
    </w:p>
    <w:p w14:paraId="16000000">
      <w:pPr>
        <w:pStyle w:val="Style_2"/>
        <w:ind w:left="1068"/>
        <w:jc w:val="both"/>
        <w:rPr>
          <w:color w:val="333333"/>
          <w:sz w:val="28"/>
        </w:rPr>
      </w:pPr>
      <w:r>
        <w:rPr>
          <w:color w:val="333333"/>
          <w:sz w:val="28"/>
        </w:rPr>
        <w:t>Мензелинского района                                                   Р.М. Бачков</w:t>
      </w:r>
    </w:p>
    <w:p w14:paraId="17000000">
      <w:pPr>
        <w:pStyle w:val="Style_2"/>
        <w:ind w:left="1068"/>
        <w:jc w:val="both"/>
        <w:rPr>
          <w:color w:val="333333"/>
          <w:sz w:val="28"/>
        </w:rPr>
      </w:pPr>
    </w:p>
    <w:p w14:paraId="18000000">
      <w:pPr>
        <w:pStyle w:val="Style_2"/>
        <w:ind w:left="1068"/>
        <w:jc w:val="both"/>
        <w:rPr>
          <w:color w:val="333333"/>
          <w:sz w:val="28"/>
        </w:rPr>
      </w:pPr>
    </w:p>
    <w:p w14:paraId="19000000">
      <w:pPr>
        <w:pStyle w:val="Style_2"/>
        <w:ind w:left="1068"/>
        <w:jc w:val="both"/>
        <w:rPr>
          <w:color w:val="333333"/>
          <w:sz w:val="28"/>
        </w:rPr>
      </w:pPr>
    </w:p>
    <w:p w14:paraId="1A000000">
      <w:pPr>
        <w:pStyle w:val="Style_2"/>
        <w:ind w:left="1068"/>
        <w:jc w:val="both"/>
        <w:rPr>
          <w:color w:val="333333"/>
          <w:sz w:val="28"/>
        </w:rPr>
      </w:pPr>
    </w:p>
    <w:p w14:paraId="1B000000">
      <w:pPr>
        <w:spacing w:after="200"/>
        <w:ind w:firstLine="708"/>
        <w:rPr>
          <w:color w:val="333333"/>
          <w:sz w:val="28"/>
        </w:rPr>
      </w:pPr>
    </w:p>
    <w:p w14:paraId="1C000000">
      <w:pPr>
        <w:spacing w:after="200"/>
        <w:ind/>
        <w:rPr>
          <w:color w:val="333333"/>
          <w:sz w:val="28"/>
        </w:rPr>
      </w:pPr>
    </w:p>
    <w:p w14:paraId="1D000000">
      <w:pPr>
        <w:ind w:firstLine="709"/>
        <w:rPr>
          <w:color w:val="333333"/>
          <w:sz w:val="28"/>
        </w:rPr>
      </w:pPr>
    </w:p>
    <w:p w14:paraId="1E000000">
      <w:pPr>
        <w:ind w:firstLine="709"/>
        <w:rPr>
          <w:color w:val="333333"/>
          <w:sz w:val="28"/>
        </w:rPr>
      </w:pPr>
    </w:p>
    <w:p w14:paraId="1F000000">
      <w:pPr>
        <w:ind w:firstLine="709"/>
        <w:rPr>
          <w:color w:val="333333"/>
          <w:sz w:val="28"/>
        </w:rPr>
      </w:pPr>
    </w:p>
    <w:p w14:paraId="20000000">
      <w:pPr>
        <w:rPr>
          <w:sz w:val="28"/>
        </w:rPr>
      </w:pPr>
    </w:p>
    <w:p w14:paraId="21000000">
      <w:pPr>
        <w:spacing w:line="360" w:lineRule="auto"/>
        <w:ind/>
        <w:jc w:val="both"/>
        <w:rPr>
          <w:sz w:val="28"/>
        </w:rPr>
      </w:pPr>
    </w:p>
    <w:sectPr>
      <w:headerReference r:id="rId1" w:type="default"/>
      <w:pgSz w:h="16838" w:orient="portrait" w:w="11906"/>
      <w:pgMar w:bottom="709" w:footer="709" w:gutter="0" w:header="709" w:left="1701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tabs>
        <w:tab w:leader="none" w:pos="4677" w:val="center"/>
        <w:tab w:leader="none" w:pos="5599" w:val="left"/>
      </w:tabs>
      <w:ind/>
    </w:pPr>
    <w:r>
      <w:tab/>
    </w:r>
    <w:r>
      <w:tab/>
    </w: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>
      <w:tab/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1068"/>
      </w:pPr>
    </w:lvl>
    <w:lvl w:ilvl="1">
      <w:start w:val="1"/>
      <w:numFmt w:val="lowerLetter"/>
      <w:lvlText w:val="%2."/>
      <w:lvlJc w:val="left"/>
      <w:pPr>
        <w:ind w:hanging="360" w:left="1788"/>
      </w:pPr>
    </w:lvl>
    <w:lvl w:ilvl="2">
      <w:start w:val="1"/>
      <w:numFmt w:val="lowerRoman"/>
      <w:lvlText w:val="%3."/>
      <w:lvlJc w:val="right"/>
      <w:pPr>
        <w:ind w:hanging="180" w:left="2508"/>
      </w:pPr>
    </w:lvl>
    <w:lvl w:ilvl="3">
      <w:start w:val="1"/>
      <w:numFmt w:val="decimal"/>
      <w:lvlText w:val="%4."/>
      <w:lvlJc w:val="left"/>
      <w:pPr>
        <w:ind w:hanging="360" w:left="3228"/>
      </w:pPr>
    </w:lvl>
    <w:lvl w:ilvl="4">
      <w:start w:val="1"/>
      <w:numFmt w:val="lowerLetter"/>
      <w:lvlText w:val="%5."/>
      <w:lvlJc w:val="left"/>
      <w:pPr>
        <w:ind w:hanging="360" w:left="3948"/>
      </w:pPr>
    </w:lvl>
    <w:lvl w:ilvl="5">
      <w:start w:val="1"/>
      <w:numFmt w:val="lowerRoman"/>
      <w:lvlText w:val="%6."/>
      <w:lvlJc w:val="right"/>
      <w:pPr>
        <w:ind w:hanging="180" w:left="4668"/>
      </w:pPr>
    </w:lvl>
    <w:lvl w:ilvl="6">
      <w:start w:val="1"/>
      <w:numFmt w:val="decimal"/>
      <w:lvlText w:val="%7."/>
      <w:lvlJc w:val="left"/>
      <w:pPr>
        <w:ind w:hanging="360" w:left="5388"/>
      </w:pPr>
    </w:lvl>
    <w:lvl w:ilvl="7">
      <w:start w:val="1"/>
      <w:numFmt w:val="lowerLetter"/>
      <w:lvlText w:val="%8."/>
      <w:lvlJc w:val="left"/>
      <w:pPr>
        <w:ind w:hanging="360" w:left="6108"/>
      </w:pPr>
    </w:lvl>
    <w:lvl w:ilvl="8">
      <w:start w:val="1"/>
      <w:numFmt w:val="lowerRoman"/>
      <w:lvlText w:val="%9."/>
      <w:lvlJc w:val="right"/>
      <w:pPr>
        <w:ind w:hanging="180" w:left="6828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3_ch" w:type="character">
    <w:name w:val="Normal"/>
    <w:link w:val="Style_3"/>
    <w:rPr>
      <w:rFonts w:ascii="Times New Roman" w:hAnsi="Times New Roman"/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ConsNonformat"/>
    <w:link w:val="Style_6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6_ch" w:type="character">
    <w:name w:val="ConsNonformat"/>
    <w:link w:val="Style_6"/>
    <w:rPr>
      <w:rFonts w:ascii="Courier New" w:hAnsi="Courier New"/>
      <w:sz w:val="20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3"/>
    <w:next w:val="Style_3"/>
    <w:link w:val="Style_10_ch"/>
    <w:uiPriority w:val="9"/>
    <w:qFormat/>
    <w:pPr>
      <w:keepNext w:val="1"/>
      <w:spacing w:line="240" w:lineRule="atLeast"/>
      <w:ind/>
      <w:jc w:val="both"/>
      <w:outlineLvl w:val="2"/>
    </w:pPr>
    <w:rPr>
      <w:b w:val="1"/>
      <w:sz w:val="16"/>
    </w:rPr>
  </w:style>
  <w:style w:styleId="Style_10_ch" w:type="character">
    <w:name w:val="heading 3"/>
    <w:basedOn w:val="Style_3_ch"/>
    <w:link w:val="Style_10"/>
    <w:rPr>
      <w:b w:val="1"/>
      <w:sz w:val="16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" w:type="paragraph">
    <w:name w:val="header"/>
    <w:basedOn w:val="Style_3"/>
    <w:link w:val="Style_1_ch"/>
    <w:pPr>
      <w:tabs>
        <w:tab w:leader="none" w:pos="4153" w:val="center"/>
        <w:tab w:leader="none" w:pos="8306" w:val="right"/>
      </w:tabs>
      <w:ind/>
    </w:pPr>
    <w:rPr>
      <w:sz w:val="20"/>
    </w:rPr>
  </w:style>
  <w:style w:styleId="Style_1_ch" w:type="character">
    <w:name w:val="header"/>
    <w:basedOn w:val="Style_3_ch"/>
    <w:link w:val="Style_1"/>
    <w:rPr>
      <w:sz w:val="20"/>
    </w:rPr>
  </w:style>
  <w:style w:styleId="Style_2" w:type="paragraph">
    <w:name w:val="List Paragraph"/>
    <w:basedOn w:val="Style_3"/>
    <w:link w:val="Style_2_ch"/>
    <w:pPr>
      <w:ind w:left="720"/>
      <w:contextualSpacing w:val="1"/>
    </w:pPr>
  </w:style>
  <w:style w:styleId="Style_2_ch" w:type="character">
    <w:name w:val="List Paragraph"/>
    <w:basedOn w:val="Style_3_ch"/>
    <w:link w:val="Style_2"/>
  </w:style>
  <w:style w:styleId="Style_12" w:type="paragraph">
    <w:name w:val="No Spacing"/>
    <w:link w:val="Style_12_ch"/>
    <w:pPr>
      <w:spacing w:after="0" w:line="240" w:lineRule="auto"/>
      <w:ind/>
    </w:pPr>
    <w:rPr>
      <w:rFonts w:ascii="Times New Roman" w:hAnsi="Times New Roman"/>
      <w:sz w:val="24"/>
    </w:rPr>
  </w:style>
  <w:style w:styleId="Style_12_ch" w:type="character">
    <w:name w:val="No Spacing"/>
    <w:link w:val="Style_12"/>
    <w:rPr>
      <w:rFonts w:ascii="Times New Roman" w:hAnsi="Times New Roman"/>
      <w:sz w:val="24"/>
    </w:rPr>
  </w:style>
  <w:style w:styleId="Style_13" w:type="paragraph">
    <w:name w:val="Основной текст1"/>
    <w:basedOn w:val="Style_3"/>
    <w:link w:val="Style_13_ch"/>
    <w:pPr>
      <w:widowControl w:val="0"/>
      <w:spacing w:line="317" w:lineRule="exact"/>
      <w:ind/>
    </w:pPr>
    <w:rPr>
      <w:spacing w:val="1"/>
      <w:sz w:val="25"/>
    </w:rPr>
  </w:style>
  <w:style w:styleId="Style_13_ch" w:type="character">
    <w:name w:val="Основной текст1"/>
    <w:basedOn w:val="Style_3_ch"/>
    <w:link w:val="Style_13"/>
    <w:rPr>
      <w:spacing w:val="1"/>
      <w:sz w:val="25"/>
    </w:rPr>
  </w:style>
  <w:style w:styleId="Style_14" w:type="paragraph">
    <w:name w:val="Balloon Text"/>
    <w:basedOn w:val="Style_3"/>
    <w:link w:val="Style_14_ch"/>
    <w:rPr>
      <w:rFonts w:ascii="Segoe UI" w:hAnsi="Segoe UI"/>
      <w:sz w:val="18"/>
    </w:rPr>
  </w:style>
  <w:style w:styleId="Style_14_ch" w:type="character">
    <w:name w:val="Balloon Text"/>
    <w:basedOn w:val="Style_3_ch"/>
    <w:link w:val="Style_14"/>
    <w:rPr>
      <w:rFonts w:ascii="Segoe UI" w:hAnsi="Segoe UI"/>
      <w:sz w:val="18"/>
    </w:rPr>
  </w:style>
  <w:style w:styleId="Style_15" w:type="paragraph">
    <w:name w:val="toc 3"/>
    <w:next w:val="Style_3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next w:val="Style_3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basedOn w:val="Style_3"/>
    <w:next w:val="Style_3"/>
    <w:link w:val="Style_17_ch"/>
    <w:uiPriority w:val="9"/>
    <w:qFormat/>
    <w:pPr>
      <w:keepNext w:val="1"/>
      <w:ind w:right="141"/>
      <w:jc w:val="center"/>
      <w:outlineLvl w:val="0"/>
    </w:pPr>
    <w:rPr>
      <w:b w:val="1"/>
      <w:sz w:val="32"/>
    </w:rPr>
  </w:style>
  <w:style w:styleId="Style_17_ch" w:type="character">
    <w:name w:val="heading 1"/>
    <w:basedOn w:val="Style_3_ch"/>
    <w:link w:val="Style_17"/>
    <w:rPr>
      <w:b w:val="1"/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3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Normal (Web)"/>
    <w:basedOn w:val="Style_3"/>
    <w:link w:val="Style_22_ch"/>
    <w:pPr>
      <w:spacing w:afterAutospacing="on" w:beforeAutospacing="on"/>
      <w:ind/>
    </w:pPr>
  </w:style>
  <w:style w:styleId="Style_22_ch" w:type="character">
    <w:name w:val="Normal (Web)"/>
    <w:basedOn w:val="Style_3_ch"/>
    <w:link w:val="Style_22"/>
  </w:style>
  <w:style w:styleId="Style_23" w:type="paragraph">
    <w:name w:val="toc 9"/>
    <w:next w:val="Style_3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ПРОКУРАТУРА"/>
    <w:basedOn w:val="Style_3"/>
    <w:link w:val="Style_24_ch"/>
    <w:pPr>
      <w:spacing w:after="200" w:line="276" w:lineRule="auto"/>
      <w:ind/>
      <w:jc w:val="both"/>
    </w:pPr>
    <w:rPr>
      <w:sz w:val="28"/>
    </w:rPr>
  </w:style>
  <w:style w:styleId="Style_24_ch" w:type="character">
    <w:name w:val="ПРОКУРАТУРА"/>
    <w:basedOn w:val="Style_3_ch"/>
    <w:link w:val="Style_24"/>
    <w:rPr>
      <w:sz w:val="28"/>
    </w:rPr>
  </w:style>
  <w:style w:styleId="Style_25" w:type="paragraph">
    <w:name w:val="toc 8"/>
    <w:next w:val="Style_3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Body Text"/>
    <w:basedOn w:val="Style_3"/>
    <w:link w:val="Style_26_ch"/>
    <w:rPr>
      <w:b w:val="1"/>
      <w:sz w:val="20"/>
    </w:rPr>
  </w:style>
  <w:style w:styleId="Style_26_ch" w:type="character">
    <w:name w:val="Body Text"/>
    <w:basedOn w:val="Style_3_ch"/>
    <w:link w:val="Style_26"/>
    <w:rPr>
      <w:b w:val="1"/>
      <w:sz w:val="20"/>
    </w:rPr>
  </w:style>
  <w:style w:styleId="Style_27" w:type="paragraph">
    <w:name w:val="Body Text Indent"/>
    <w:basedOn w:val="Style_3"/>
    <w:link w:val="Style_27_ch"/>
    <w:pPr>
      <w:spacing w:after="120"/>
      <w:ind w:left="283"/>
    </w:pPr>
  </w:style>
  <w:style w:styleId="Style_27_ch" w:type="character">
    <w:name w:val="Body Text Indent"/>
    <w:basedOn w:val="Style_3_ch"/>
    <w:link w:val="Style_27"/>
  </w:style>
  <w:style w:styleId="Style_28" w:type="paragraph">
    <w:name w:val="toc 5"/>
    <w:next w:val="Style_3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Strong"/>
    <w:link w:val="Style_29_ch"/>
    <w:rPr>
      <w:b w:val="1"/>
    </w:rPr>
  </w:style>
  <w:style w:styleId="Style_29_ch" w:type="character">
    <w:name w:val="Strong"/>
    <w:link w:val="Style_29"/>
    <w:rPr>
      <w:b w:val="1"/>
    </w:rPr>
  </w:style>
  <w:style w:styleId="Style_30" w:type="paragraph">
    <w:name w:val="Subtitle"/>
    <w:next w:val="Style_3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3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basedOn w:val="Style_3"/>
    <w:next w:val="Style_3"/>
    <w:link w:val="Style_32_ch"/>
    <w:uiPriority w:val="9"/>
    <w:qFormat/>
    <w:pPr>
      <w:keepNext w:val="1"/>
      <w:spacing w:line="240" w:lineRule="atLeast"/>
      <w:ind w:right="141"/>
      <w:jc w:val="both"/>
      <w:outlineLvl w:val="3"/>
    </w:pPr>
  </w:style>
  <w:style w:styleId="Style_32_ch" w:type="character">
    <w:name w:val="heading 4"/>
    <w:basedOn w:val="Style_3_ch"/>
    <w:link w:val="Style_32"/>
  </w:style>
  <w:style w:styleId="Style_33" w:type="paragraph">
    <w:name w:val="Основной текст + 8 pt"/>
    <w:link w:val="Style_33_ch"/>
    <w:rPr>
      <w:rFonts w:ascii="Times New Roman" w:hAnsi="Times New Roman"/>
      <w:b w:val="0"/>
      <w:spacing w:val="8"/>
      <w:sz w:val="16"/>
      <w:highlight w:val="white"/>
    </w:rPr>
  </w:style>
  <w:style w:styleId="Style_33_ch" w:type="character">
    <w:name w:val="Основной текст + 8 pt"/>
    <w:link w:val="Style_33"/>
    <w:rPr>
      <w:rFonts w:ascii="Times New Roman" w:hAnsi="Times New Roman"/>
      <w:b w:val="0"/>
      <w:spacing w:val="8"/>
      <w:sz w:val="16"/>
      <w:highlight w:val="white"/>
    </w:rPr>
  </w:style>
  <w:style w:styleId="Style_34" w:type="paragraph">
    <w:name w:val="Стиль"/>
    <w:link w:val="Style_34_ch"/>
    <w:pPr>
      <w:spacing w:after="0" w:line="240" w:lineRule="auto"/>
      <w:ind/>
    </w:pPr>
    <w:rPr>
      <w:rFonts w:ascii="Times New Roman" w:hAnsi="Times New Roman"/>
      <w:sz w:val="20"/>
    </w:rPr>
  </w:style>
  <w:style w:styleId="Style_34_ch" w:type="character">
    <w:name w:val="Стиль"/>
    <w:link w:val="Style_34"/>
    <w:rPr>
      <w:rFonts w:ascii="Times New Roman" w:hAnsi="Times New Roman"/>
      <w:sz w:val="20"/>
    </w:rPr>
  </w:style>
  <w:style w:styleId="Style_35" w:type="paragraph">
    <w:name w:val="heading 2"/>
    <w:next w:val="Style_3"/>
    <w:link w:val="Style_3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5_ch" w:type="character">
    <w:name w:val="heading 2"/>
    <w:link w:val="Style_35"/>
    <w:rPr>
      <w:rFonts w:ascii="XO Thames" w:hAnsi="XO Thames"/>
      <w:b w:val="1"/>
      <w:sz w:val="28"/>
    </w:rPr>
  </w:style>
  <w:style w:default="1" w:styleId="Style_3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MyOffice-CoreFramework-Android/34-1238.862.9476.867.1@5688b07644a86ad6926e24f04b4906eb4758a8c9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2024-11-05T08:39:55Z</dcterms:modified>
</cp:coreProperties>
</file>