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7AA" w:rsidRDefault="00D86EB7">
      <w:pPr>
        <w:keepNext/>
        <w:spacing w:before="240"/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32"/>
          <w:szCs w:val="32"/>
        </w:rPr>
        <w:t>ПРИКАЗ</w:t>
      </w:r>
    </w:p>
    <w:p w:rsidR="006177AA" w:rsidRDefault="006177AA">
      <w:pPr>
        <w:jc w:val="center"/>
        <w:rPr>
          <w:b/>
          <w:bCs/>
          <w:sz w:val="28"/>
          <w:szCs w:val="28"/>
        </w:rPr>
      </w:pPr>
    </w:p>
    <w:p w:rsidR="006177AA" w:rsidRDefault="008370F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D86EB7">
        <w:rPr>
          <w:b/>
          <w:sz w:val="28"/>
          <w:szCs w:val="28"/>
        </w:rPr>
        <w:t xml:space="preserve">комиссии по проведению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</w:t>
      </w:r>
    </w:p>
    <w:p w:rsidR="006177AA" w:rsidRDefault="006177AA">
      <w:pPr>
        <w:widowControl w:val="0"/>
        <w:jc w:val="center"/>
        <w:rPr>
          <w:b/>
          <w:sz w:val="28"/>
          <w:szCs w:val="28"/>
        </w:rPr>
      </w:pPr>
    </w:p>
    <w:p w:rsidR="006177AA" w:rsidRDefault="00D86EB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14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гражданства, утвержденного приказом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04.03.2025 № 170, приказом Министерства образования </w:t>
      </w:r>
      <w:r w:rsidR="00643919">
        <w:rPr>
          <w:sz w:val="28"/>
          <w:szCs w:val="28"/>
        </w:rPr>
        <w:t xml:space="preserve">и науки Республики Татарстан </w:t>
      </w:r>
      <w:r>
        <w:rPr>
          <w:sz w:val="28"/>
          <w:szCs w:val="28"/>
        </w:rPr>
        <w:t>от 24.03.2025 №</w:t>
      </w:r>
      <w:r w:rsidR="00643919">
        <w:rPr>
          <w:sz w:val="28"/>
          <w:szCs w:val="28"/>
        </w:rPr>
        <w:t>под-502/25</w:t>
      </w:r>
      <w:r>
        <w:rPr>
          <w:sz w:val="28"/>
          <w:szCs w:val="28"/>
        </w:rPr>
        <w:t xml:space="preserve"> «Об  утверждении </w:t>
      </w:r>
      <w:r w:rsidR="00643919">
        <w:rPr>
          <w:sz w:val="28"/>
          <w:szCs w:val="28"/>
        </w:rPr>
        <w:t>списка тестирующих организаций</w:t>
      </w:r>
      <w:r>
        <w:rPr>
          <w:sz w:val="28"/>
          <w:szCs w:val="28"/>
        </w:rPr>
        <w:t xml:space="preserve">» </w:t>
      </w:r>
    </w:p>
    <w:p w:rsidR="006177AA" w:rsidRDefault="006177AA">
      <w:pPr>
        <w:widowControl w:val="0"/>
        <w:ind w:firstLine="709"/>
        <w:jc w:val="both"/>
        <w:rPr>
          <w:sz w:val="28"/>
          <w:szCs w:val="28"/>
        </w:rPr>
      </w:pPr>
    </w:p>
    <w:p w:rsidR="006177AA" w:rsidRDefault="00D86EB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6177AA" w:rsidRDefault="006177AA">
      <w:pPr>
        <w:widowControl w:val="0"/>
        <w:ind w:firstLine="709"/>
        <w:jc w:val="both"/>
        <w:rPr>
          <w:sz w:val="28"/>
          <w:szCs w:val="28"/>
        </w:rPr>
      </w:pPr>
    </w:p>
    <w:p w:rsidR="006177AA" w:rsidRDefault="00D86EB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43919">
        <w:rPr>
          <w:sz w:val="28"/>
          <w:szCs w:val="28"/>
        </w:rPr>
        <w:t>Утвердить состав</w:t>
      </w:r>
      <w:r>
        <w:rPr>
          <w:sz w:val="28"/>
          <w:szCs w:val="28"/>
        </w:rPr>
        <w:t xml:space="preserve"> комисси</w:t>
      </w:r>
      <w:r w:rsidR="00643919">
        <w:rPr>
          <w:sz w:val="28"/>
          <w:szCs w:val="28"/>
        </w:rPr>
        <w:t>и</w:t>
      </w:r>
      <w:r>
        <w:rPr>
          <w:sz w:val="28"/>
          <w:szCs w:val="28"/>
        </w:rPr>
        <w:t xml:space="preserve"> по проведению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(далее - Комиссия)</w:t>
      </w:r>
      <w:r w:rsidR="008370F8">
        <w:rPr>
          <w:sz w:val="28"/>
          <w:szCs w:val="28"/>
        </w:rPr>
        <w:t>. Приложение1</w:t>
      </w:r>
      <w:r>
        <w:rPr>
          <w:sz w:val="28"/>
          <w:szCs w:val="28"/>
        </w:rPr>
        <w:t>.</w:t>
      </w:r>
    </w:p>
    <w:p w:rsidR="006177AA" w:rsidRDefault="00D86EB7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Комиссии при проведении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(далее — соответственно тестирование, иностранные граждане) строго соблюдать положения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</w:t>
      </w:r>
      <w:proofErr w:type="spellStart"/>
      <w:r>
        <w:rPr>
          <w:rFonts w:eastAsia="Calibri"/>
          <w:sz w:val="28"/>
          <w:szCs w:val="28"/>
          <w:lang w:eastAsia="en-US"/>
        </w:rPr>
        <w:t>иностранны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граждан и лиц без гражданства, утвержденного приказом </w:t>
      </w:r>
      <w:proofErr w:type="spellStart"/>
      <w:r>
        <w:rPr>
          <w:rFonts w:eastAsia="Calibri"/>
          <w:sz w:val="28"/>
          <w:szCs w:val="28"/>
          <w:lang w:eastAsia="en-US"/>
        </w:rPr>
        <w:t>Минпросвещения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России от 04.03.2025 № 170 (далее - Порядок).</w:t>
      </w:r>
    </w:p>
    <w:p w:rsidR="006177AA" w:rsidRDefault="00D86EB7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Возложить на комиссию персональную ответственность за нарушение Порядка при проведении тестирования иностранных граждан.</w:t>
      </w:r>
    </w:p>
    <w:p w:rsidR="006177AA" w:rsidRDefault="00D86EB7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 </w:t>
      </w:r>
      <w:r w:rsidRPr="00643919">
        <w:rPr>
          <w:rFonts w:eastAsia="Calibri"/>
          <w:sz w:val="28"/>
          <w:szCs w:val="28"/>
          <w:highlight w:val="yellow"/>
          <w:lang w:eastAsia="en-US"/>
        </w:rPr>
        <w:t>(Ф.И.О. должность)</w:t>
      </w:r>
      <w:r>
        <w:rPr>
          <w:rFonts w:eastAsia="Calibri"/>
          <w:sz w:val="28"/>
          <w:szCs w:val="28"/>
          <w:lang w:eastAsia="en-US"/>
        </w:rPr>
        <w:t xml:space="preserve"> определить техническим специалистом, ответственным за организационно-техническое обеспечение про</w:t>
      </w:r>
      <w:r w:rsidR="00865FC2">
        <w:rPr>
          <w:rFonts w:eastAsia="Calibri"/>
          <w:sz w:val="28"/>
          <w:szCs w:val="28"/>
          <w:lang w:eastAsia="en-US"/>
        </w:rPr>
        <w:t>цедуры проведения тестирования</w:t>
      </w:r>
      <w:bookmarkStart w:id="0" w:name="_GoBack"/>
      <w:bookmarkEnd w:id="0"/>
      <w:r w:rsidR="00865FC2">
        <w:rPr>
          <w:rFonts w:eastAsia="Calibri"/>
          <w:sz w:val="28"/>
          <w:szCs w:val="28"/>
          <w:lang w:eastAsia="en-US"/>
        </w:rPr>
        <w:t>.</w:t>
      </w:r>
    </w:p>
    <w:p w:rsidR="006177AA" w:rsidRDefault="00D86EB7">
      <w:pPr>
        <w:widowControl w:val="0"/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 xml:space="preserve">5. </w:t>
      </w:r>
      <w:r>
        <w:rPr>
          <w:sz w:val="28"/>
          <w:szCs w:val="28"/>
        </w:rPr>
        <w:t>Контроль за исполнением настоящего приказа оставляю за собой.</w:t>
      </w:r>
    </w:p>
    <w:p w:rsidR="006177AA" w:rsidRDefault="006177AA">
      <w:pPr>
        <w:ind w:firstLine="709"/>
        <w:jc w:val="both"/>
        <w:rPr>
          <w:sz w:val="28"/>
          <w:szCs w:val="28"/>
        </w:rPr>
      </w:pPr>
    </w:p>
    <w:p w:rsidR="006177AA" w:rsidRDefault="00D86E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Директор (наименование </w:t>
      </w:r>
      <w:proofErr w:type="gramStart"/>
      <w:r>
        <w:rPr>
          <w:sz w:val="28"/>
          <w:szCs w:val="28"/>
        </w:rPr>
        <w:t xml:space="preserve">ОО)   </w:t>
      </w:r>
      <w:proofErr w:type="gramEnd"/>
      <w:r>
        <w:rPr>
          <w:sz w:val="28"/>
          <w:szCs w:val="28"/>
        </w:rPr>
        <w:t xml:space="preserve">                                                              ФИО</w:t>
      </w:r>
    </w:p>
    <w:p w:rsidR="00643919" w:rsidRDefault="00643919">
      <w:pPr>
        <w:widowControl w:val="0"/>
        <w:tabs>
          <w:tab w:val="left" w:pos="993"/>
          <w:tab w:val="left" w:pos="4253"/>
        </w:tabs>
        <w:ind w:left="4253"/>
        <w:contextualSpacing/>
        <w:jc w:val="center"/>
        <w:rPr>
          <w:sz w:val="28"/>
          <w:szCs w:val="28"/>
          <w:lang w:eastAsia="en-US"/>
        </w:rPr>
      </w:pPr>
    </w:p>
    <w:p w:rsidR="00643919" w:rsidRDefault="00643919">
      <w:pPr>
        <w:widowControl w:val="0"/>
        <w:tabs>
          <w:tab w:val="left" w:pos="993"/>
          <w:tab w:val="left" w:pos="4253"/>
        </w:tabs>
        <w:ind w:left="4253"/>
        <w:contextualSpacing/>
        <w:jc w:val="center"/>
        <w:rPr>
          <w:sz w:val="28"/>
          <w:szCs w:val="28"/>
          <w:lang w:eastAsia="en-US"/>
        </w:rPr>
      </w:pPr>
    </w:p>
    <w:p w:rsidR="00643919" w:rsidRDefault="00643919">
      <w:pPr>
        <w:widowControl w:val="0"/>
        <w:tabs>
          <w:tab w:val="left" w:pos="993"/>
          <w:tab w:val="left" w:pos="4253"/>
        </w:tabs>
        <w:ind w:left="4253"/>
        <w:contextualSpacing/>
        <w:jc w:val="center"/>
        <w:rPr>
          <w:sz w:val="28"/>
          <w:szCs w:val="28"/>
          <w:lang w:eastAsia="en-US"/>
        </w:rPr>
      </w:pPr>
    </w:p>
    <w:p w:rsidR="00643919" w:rsidRDefault="00643919">
      <w:pPr>
        <w:widowControl w:val="0"/>
        <w:tabs>
          <w:tab w:val="left" w:pos="993"/>
          <w:tab w:val="left" w:pos="4253"/>
        </w:tabs>
        <w:ind w:left="4253"/>
        <w:contextualSpacing/>
        <w:jc w:val="center"/>
        <w:rPr>
          <w:sz w:val="28"/>
          <w:szCs w:val="28"/>
          <w:lang w:eastAsia="en-US"/>
        </w:rPr>
      </w:pPr>
    </w:p>
    <w:p w:rsidR="006177AA" w:rsidRDefault="00643919">
      <w:pPr>
        <w:tabs>
          <w:tab w:val="left" w:pos="4253"/>
        </w:tabs>
        <w:ind w:left="4253"/>
        <w:jc w:val="center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t>Приложение 1</w:t>
      </w:r>
    </w:p>
    <w:p w:rsidR="006177AA" w:rsidRDefault="006177AA">
      <w:pPr>
        <w:widowControl w:val="0"/>
        <w:jc w:val="both"/>
        <w:rPr>
          <w:sz w:val="28"/>
          <w:szCs w:val="28"/>
        </w:rPr>
      </w:pPr>
    </w:p>
    <w:p w:rsidR="006177AA" w:rsidRDefault="006177AA">
      <w:pPr>
        <w:widowControl w:val="0"/>
        <w:jc w:val="both"/>
        <w:rPr>
          <w:sz w:val="28"/>
          <w:szCs w:val="28"/>
        </w:rPr>
      </w:pPr>
    </w:p>
    <w:p w:rsidR="006177AA" w:rsidRDefault="00D86EB7">
      <w:pPr>
        <w:widowControl w:val="0"/>
        <w:spacing w:after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комиссии</w:t>
      </w:r>
    </w:p>
    <w:p w:rsidR="006177AA" w:rsidRDefault="00D86EB7">
      <w:pPr>
        <w:widowControl w:val="0"/>
        <w:spacing w:after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проведению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</w:t>
      </w:r>
    </w:p>
    <w:p w:rsidR="006177AA" w:rsidRDefault="006177AA">
      <w:pPr>
        <w:widowControl w:val="0"/>
        <w:spacing w:after="1"/>
        <w:jc w:val="center"/>
        <w:rPr>
          <w:b/>
          <w:sz w:val="28"/>
          <w:szCs w:val="28"/>
        </w:rPr>
      </w:pPr>
    </w:p>
    <w:p w:rsidR="006177AA" w:rsidRDefault="006177AA">
      <w:pPr>
        <w:widowControl w:val="0"/>
        <w:spacing w:after="1"/>
        <w:jc w:val="center"/>
        <w:rPr>
          <w:b/>
          <w:sz w:val="28"/>
          <w:szCs w:val="28"/>
        </w:rPr>
      </w:pPr>
    </w:p>
    <w:tbl>
      <w:tblPr>
        <w:tblW w:w="95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47"/>
        <w:gridCol w:w="425"/>
        <w:gridCol w:w="5658"/>
      </w:tblGrid>
      <w:tr w:rsidR="006177AA">
        <w:trPr>
          <w:trHeight w:val="538"/>
        </w:trPr>
        <w:tc>
          <w:tcPr>
            <w:tcW w:w="3447" w:type="dxa"/>
          </w:tcPr>
          <w:p w:rsidR="006177AA" w:rsidRDefault="00D86EB7">
            <w:pPr>
              <w:rPr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  <w:lang w:eastAsia="ru-RU"/>
              </w:rPr>
              <w:t>Председатель комиссии</w:t>
            </w:r>
          </w:p>
        </w:tc>
        <w:tc>
          <w:tcPr>
            <w:tcW w:w="425" w:type="dxa"/>
          </w:tcPr>
          <w:p w:rsidR="006177AA" w:rsidRDefault="00D86EB7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58" w:type="dxa"/>
          </w:tcPr>
          <w:p w:rsidR="006177AA" w:rsidRDefault="006177AA">
            <w:pPr>
              <w:jc w:val="both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6177AA">
        <w:trPr>
          <w:trHeight w:val="733"/>
        </w:trPr>
        <w:tc>
          <w:tcPr>
            <w:tcW w:w="3447" w:type="dxa"/>
          </w:tcPr>
          <w:p w:rsidR="006177AA" w:rsidRDefault="00D86EB7">
            <w:pPr>
              <w:jc w:val="both"/>
              <w:rPr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  <w:lang w:eastAsia="ru-RU"/>
              </w:rPr>
              <w:t>Член комиссии</w:t>
            </w:r>
          </w:p>
        </w:tc>
        <w:tc>
          <w:tcPr>
            <w:tcW w:w="425" w:type="dxa"/>
          </w:tcPr>
          <w:p w:rsidR="006177AA" w:rsidRDefault="00D86EB7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58" w:type="dxa"/>
          </w:tcPr>
          <w:p w:rsidR="006177AA" w:rsidRDefault="006177AA">
            <w:pPr>
              <w:jc w:val="both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6177AA">
        <w:trPr>
          <w:trHeight w:val="882"/>
        </w:trPr>
        <w:tc>
          <w:tcPr>
            <w:tcW w:w="3447" w:type="dxa"/>
          </w:tcPr>
          <w:p w:rsidR="006177AA" w:rsidRDefault="00D86EB7">
            <w:pPr>
              <w:jc w:val="both"/>
              <w:rPr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  <w:lang w:eastAsia="ru-RU"/>
              </w:rPr>
              <w:t>Член комиссии</w:t>
            </w:r>
          </w:p>
        </w:tc>
        <w:tc>
          <w:tcPr>
            <w:tcW w:w="425" w:type="dxa"/>
          </w:tcPr>
          <w:p w:rsidR="006177AA" w:rsidRDefault="00D86EB7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58" w:type="dxa"/>
          </w:tcPr>
          <w:p w:rsidR="006177AA" w:rsidRDefault="006177AA">
            <w:pPr>
              <w:jc w:val="both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6177AA">
        <w:trPr>
          <w:trHeight w:val="1146"/>
        </w:trPr>
        <w:tc>
          <w:tcPr>
            <w:tcW w:w="3447" w:type="dxa"/>
          </w:tcPr>
          <w:p w:rsidR="006177AA" w:rsidRDefault="00D86EB7">
            <w:pPr>
              <w:jc w:val="both"/>
              <w:rPr>
                <w:sz w:val="28"/>
                <w:szCs w:val="28"/>
              </w:rPr>
            </w:pPr>
            <w:r>
              <w:rPr>
                <w:rFonts w:ascii="XO Thames" w:hAnsi="XO Thames"/>
                <w:sz w:val="28"/>
                <w:szCs w:val="28"/>
                <w:lang w:eastAsia="ru-RU"/>
              </w:rPr>
              <w:t>Член комиссии</w:t>
            </w:r>
          </w:p>
        </w:tc>
        <w:tc>
          <w:tcPr>
            <w:tcW w:w="425" w:type="dxa"/>
          </w:tcPr>
          <w:p w:rsidR="006177AA" w:rsidRDefault="00D86EB7">
            <w:pPr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58" w:type="dxa"/>
          </w:tcPr>
          <w:p w:rsidR="006177AA" w:rsidRDefault="006177AA">
            <w:pPr>
              <w:jc w:val="both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:rsidR="006177AA" w:rsidRDefault="006177AA">
      <w:pPr>
        <w:widowControl w:val="0"/>
        <w:spacing w:after="1"/>
        <w:jc w:val="center"/>
        <w:rPr>
          <w:b/>
          <w:sz w:val="28"/>
          <w:szCs w:val="28"/>
        </w:rPr>
      </w:pPr>
    </w:p>
    <w:p w:rsidR="006177AA" w:rsidRDefault="006177AA">
      <w:pPr>
        <w:widowControl w:val="0"/>
        <w:spacing w:after="1"/>
        <w:jc w:val="center"/>
        <w:rPr>
          <w:b/>
          <w:sz w:val="28"/>
          <w:szCs w:val="28"/>
        </w:rPr>
      </w:pPr>
    </w:p>
    <w:p w:rsidR="006177AA" w:rsidRDefault="006177AA">
      <w:pPr>
        <w:widowControl w:val="0"/>
        <w:spacing w:after="1"/>
        <w:jc w:val="center"/>
        <w:rPr>
          <w:b/>
          <w:sz w:val="28"/>
          <w:szCs w:val="28"/>
        </w:rPr>
      </w:pPr>
    </w:p>
    <w:p w:rsidR="006177AA" w:rsidRDefault="006177AA">
      <w:pPr>
        <w:widowControl w:val="0"/>
        <w:spacing w:after="1"/>
        <w:jc w:val="center"/>
        <w:rPr>
          <w:b/>
          <w:sz w:val="28"/>
          <w:szCs w:val="28"/>
        </w:rPr>
      </w:pPr>
    </w:p>
    <w:p w:rsidR="006177AA" w:rsidRDefault="006177AA">
      <w:pPr>
        <w:widowControl w:val="0"/>
        <w:jc w:val="both"/>
        <w:rPr>
          <w:b/>
          <w:sz w:val="28"/>
          <w:szCs w:val="28"/>
        </w:rPr>
      </w:pPr>
    </w:p>
    <w:p w:rsidR="006177AA" w:rsidRDefault="006177AA">
      <w:pPr>
        <w:widowControl w:val="0"/>
        <w:jc w:val="both"/>
        <w:rPr>
          <w:sz w:val="28"/>
          <w:szCs w:val="28"/>
        </w:rPr>
      </w:pPr>
    </w:p>
    <w:p w:rsidR="006177AA" w:rsidRDefault="006177AA">
      <w:pPr>
        <w:widowControl w:val="0"/>
        <w:ind w:firstLine="709"/>
        <w:jc w:val="both"/>
        <w:rPr>
          <w:sz w:val="28"/>
          <w:szCs w:val="28"/>
        </w:rPr>
      </w:pPr>
    </w:p>
    <w:sectPr w:rsidR="006177AA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roman"/>
    <w:pitch w:val="default"/>
  </w:font>
  <w:font w:name="DejaVu San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proofState w:spelling="clean" w:grammar="clean"/>
  <w:defaultTabStop w:val="708"/>
  <w:autoHyphenation/>
  <w:characterSpacingControl w:val="doNotCompress"/>
  <w:compat>
    <w:doNotBreakWrappedTables/>
    <w:compatSetting w:name="compatibilityMode" w:uri="http://schemas.microsoft.com/office/word" w:val="12"/>
  </w:compat>
  <w:rsids>
    <w:rsidRoot w:val="006177AA"/>
    <w:rsid w:val="006177AA"/>
    <w:rsid w:val="00643919"/>
    <w:rsid w:val="008370F8"/>
    <w:rsid w:val="00865FC2"/>
    <w:rsid w:val="00D8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6510B"/>
  <w15:docId w15:val="{36E8D474-BA92-4B56-BF0D-833D7ADD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80"/>
      <w:u w:val="single"/>
    </w:rPr>
  </w:style>
  <w:style w:type="character" w:customStyle="1" w:styleId="a4">
    <w:name w:val="Текст выноски Знак"/>
    <w:basedOn w:val="a0"/>
    <w:link w:val="a5"/>
    <w:qFormat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6">
    <w:name w:val="Верхний колонтитул Знак"/>
    <w:basedOn w:val="a0"/>
    <w:link w:val="a7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8">
    <w:name w:val="Нижний колонтитул Знак"/>
    <w:basedOn w:val="a0"/>
    <w:link w:val="a9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">
    <w:name w:val="Заголовок1"/>
    <w:basedOn w:val="a"/>
    <w:next w:val="aa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a">
    <w:name w:val="Body Text"/>
    <w:basedOn w:val="a"/>
    <w:qFormat/>
    <w:pPr>
      <w:spacing w:after="140" w:line="276" w:lineRule="auto"/>
    </w:pPr>
  </w:style>
  <w:style w:type="paragraph" w:styleId="ab">
    <w:name w:val="List"/>
    <w:basedOn w:val="aa"/>
    <w:qFormat/>
    <w:rPr>
      <w:rFonts w:ascii="PT Astra Serif" w:hAnsi="PT Astra Serif"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d">
    <w:name w:val="index heading"/>
    <w:basedOn w:val="a"/>
    <w:next w:val="10"/>
    <w:qFormat/>
    <w:pPr>
      <w:suppressLineNumbers/>
    </w:pPr>
    <w:rPr>
      <w:rFonts w:ascii="PT Astra Serif" w:hAnsi="PT Astra Serif" w:cs="FreeSans"/>
    </w:rPr>
  </w:style>
  <w:style w:type="paragraph" w:styleId="a5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customStyle="1" w:styleId="caption1">
    <w:name w:val="caption1"/>
    <w:basedOn w:val="a"/>
    <w:next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10">
    <w:name w:val="index 1"/>
    <w:basedOn w:val="a"/>
    <w:next w:val="a"/>
    <w:uiPriority w:val="99"/>
    <w:semiHidden/>
    <w:unhideWhenUsed/>
    <w:qFormat/>
  </w:style>
  <w:style w:type="paragraph" w:customStyle="1" w:styleId="ae">
    <w:name w:val="Колонтитул"/>
    <w:basedOn w:val="a"/>
    <w:qFormat/>
  </w:style>
  <w:style w:type="paragraph" w:styleId="a7">
    <w:name w:val="header"/>
    <w:basedOn w:val="a"/>
    <w:link w:val="a6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qFormat/>
    <w:pPr>
      <w:tabs>
        <w:tab w:val="center" w:pos="4677"/>
        <w:tab w:val="right" w:pos="9355"/>
      </w:tabs>
    </w:pPr>
  </w:style>
  <w:style w:type="paragraph" w:customStyle="1" w:styleId="11">
    <w:name w:val="Указатель1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customStyle="1" w:styleId="BodyText1">
    <w:name w:val="Body Text1"/>
    <w:qFormat/>
    <w:pPr>
      <w:widowControl w:val="0"/>
      <w:snapToGrid w:val="0"/>
      <w:ind w:firstLine="504"/>
      <w:jc w:val="both"/>
    </w:pPr>
    <w:rPr>
      <w:rFonts w:ascii="Times New Roman" w:eastAsia="Times New Roman" w:hAnsi="Times New Roman" w:cs="Times New Roman"/>
      <w:color w:val="000000"/>
      <w:sz w:val="28"/>
      <w:lang w:bidi="ar-SA"/>
    </w:rPr>
  </w:style>
  <w:style w:type="paragraph" w:customStyle="1" w:styleId="BodyText2">
    <w:name w:val="Body Text2"/>
    <w:qFormat/>
    <w:pPr>
      <w:widowControl w:val="0"/>
      <w:snapToGrid w:val="0"/>
      <w:ind w:firstLine="504"/>
      <w:jc w:val="both"/>
    </w:pPr>
    <w:rPr>
      <w:rFonts w:ascii="Times New Roman" w:eastAsia="Times New Roman" w:hAnsi="Times New Roman" w:cs="Times New Roman"/>
      <w:color w:val="000000"/>
      <w:sz w:val="28"/>
      <w:lang w:eastAsia="en-US" w:bidi="ar-SA"/>
    </w:r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Коллегии Администрации Кемеровской области от 23.05.2014 N 195"Об утверждении Порядка проведения оценки последствий принятия решения о реорганизации или ликвидации государственной образовательной организации Кемеровской области, муниципально</vt:lpstr>
    </vt:vector>
  </TitlesOfParts>
  <Company>КонсультантПлюс Версия 4024.00.32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Коллегии Администрации Кемеровской области от 23.05.2014 N 195"Об утверждении Порядка проведения оценки последствий принятия решения о реорганизации или ликвидации государственной образовательной организации Кемеровской области, муниципальной образовательной организации, включая критерии этой оценки (по типам данных образовательных организаций), Порядка создания комиссии по оценке последствий принятия решения о реорганизации или ликвидации государственной образовательной организации Кемеровск</dc:title>
  <dc:subject/>
  <dc:creator>Алексей Бовбас</dc:creator>
  <dc:description/>
  <cp:lastModifiedBy>Пользователь Windows</cp:lastModifiedBy>
  <cp:revision>4</cp:revision>
  <cp:lastPrinted>2025-03-31T09:20:00Z</cp:lastPrinted>
  <dcterms:created xsi:type="dcterms:W3CDTF">2025-03-31T09:09:00Z</dcterms:created>
  <dcterms:modified xsi:type="dcterms:W3CDTF">2025-03-31T09:22:00Z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